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2E499" w14:textId="77777777" w:rsidR="00770B60" w:rsidRDefault="00770B60" w:rsidP="00FB5985">
      <w:pPr>
        <w:jc w:val="center"/>
        <w:rPr>
          <w:b/>
          <w:sz w:val="24"/>
        </w:rPr>
      </w:pPr>
    </w:p>
    <w:p w14:paraId="533AA66E" w14:textId="77777777" w:rsidR="00FB5985" w:rsidRPr="002933A9" w:rsidRDefault="00FB5985" w:rsidP="00FB5985">
      <w:pPr>
        <w:jc w:val="center"/>
        <w:rPr>
          <w:b/>
          <w:sz w:val="24"/>
        </w:rPr>
      </w:pPr>
      <w:r w:rsidRPr="002933A9">
        <w:rPr>
          <w:b/>
          <w:sz w:val="24"/>
        </w:rPr>
        <w:t>Evaluation du dispositif SLIME</w:t>
      </w:r>
    </w:p>
    <w:p w14:paraId="0C0FA754" w14:textId="77777777" w:rsidR="000F18B4" w:rsidRPr="002933A9" w:rsidRDefault="00FB5985" w:rsidP="00FB5985">
      <w:pPr>
        <w:jc w:val="center"/>
        <w:rPr>
          <w:b/>
          <w:sz w:val="24"/>
        </w:rPr>
      </w:pPr>
      <w:r w:rsidRPr="002933A9">
        <w:rPr>
          <w:b/>
          <w:sz w:val="24"/>
        </w:rPr>
        <w:t>Compte-rendu de la réunion de lancement</w:t>
      </w:r>
    </w:p>
    <w:p w14:paraId="4F92E688" w14:textId="77777777" w:rsidR="00FB5985" w:rsidRPr="002933A9" w:rsidRDefault="00FB5985" w:rsidP="00FB5985">
      <w:pPr>
        <w:jc w:val="center"/>
        <w:rPr>
          <w:b/>
          <w:sz w:val="24"/>
        </w:rPr>
      </w:pPr>
      <w:r w:rsidRPr="002933A9">
        <w:rPr>
          <w:b/>
          <w:sz w:val="24"/>
        </w:rPr>
        <w:t>Mercredi 4 mars de 14h à 16h</w:t>
      </w:r>
    </w:p>
    <w:p w14:paraId="51A2BEE8" w14:textId="77777777" w:rsidR="00FB5985" w:rsidRDefault="00FB5985" w:rsidP="00FB5985">
      <w:pPr>
        <w:jc w:val="both"/>
        <w:rPr>
          <w:b/>
        </w:rPr>
      </w:pPr>
    </w:p>
    <w:p w14:paraId="6B829967" w14:textId="77777777" w:rsidR="00FB5985" w:rsidRDefault="00FB5985" w:rsidP="00FB5985">
      <w:pPr>
        <w:jc w:val="both"/>
        <w:rPr>
          <w:b/>
          <w:u w:val="single"/>
        </w:rPr>
      </w:pPr>
      <w:r>
        <w:rPr>
          <w:b/>
          <w:u w:val="single"/>
        </w:rPr>
        <w:t>Participants :</w:t>
      </w:r>
    </w:p>
    <w:p w14:paraId="0C43FD6E" w14:textId="77777777" w:rsidR="00FB5985" w:rsidRPr="00FB5985" w:rsidRDefault="00FB5985" w:rsidP="00FB5985">
      <w:pPr>
        <w:jc w:val="both"/>
      </w:pPr>
      <w:r w:rsidRPr="00FB5985">
        <w:rPr>
          <w:bCs/>
        </w:rPr>
        <w:t xml:space="preserve">Bouchra Zeroual, Léo </w:t>
      </w:r>
      <w:proofErr w:type="spellStart"/>
      <w:r w:rsidRPr="00FB5985">
        <w:rPr>
          <w:bCs/>
        </w:rPr>
        <w:t>Pardo</w:t>
      </w:r>
      <w:proofErr w:type="spellEnd"/>
      <w:r>
        <w:rPr>
          <w:bCs/>
        </w:rPr>
        <w:t xml:space="preserve"> et </w:t>
      </w:r>
      <w:r w:rsidRPr="00FB5985">
        <w:rPr>
          <w:bCs/>
        </w:rPr>
        <w:t>Léa Le Souder</w:t>
      </w:r>
      <w:r>
        <w:rPr>
          <w:bCs/>
        </w:rPr>
        <w:t xml:space="preserve"> - CLER</w:t>
      </w:r>
    </w:p>
    <w:p w14:paraId="275E25ED" w14:textId="74A7E312" w:rsidR="00FB5985" w:rsidRDefault="00FB5985" w:rsidP="00FB5985">
      <w:pPr>
        <w:jc w:val="both"/>
        <w:rPr>
          <w:bCs/>
        </w:rPr>
      </w:pPr>
      <w:r w:rsidRPr="00FB5985">
        <w:rPr>
          <w:bCs/>
        </w:rPr>
        <w:t xml:space="preserve">Claire Bally </w:t>
      </w:r>
      <w:r w:rsidR="001B2769">
        <w:rPr>
          <w:bCs/>
        </w:rPr>
        <w:t>(</w:t>
      </w:r>
      <w:r w:rsidR="00675EEC" w:rsidRPr="00335A2B">
        <w:rPr>
          <w:bCs/>
        </w:rPr>
        <w:t>visioconférence</w:t>
      </w:r>
      <w:r w:rsidR="001B2769" w:rsidRPr="00335A2B">
        <w:rPr>
          <w:bCs/>
        </w:rPr>
        <w:t>)</w:t>
      </w:r>
      <w:r w:rsidR="001B2769">
        <w:rPr>
          <w:bCs/>
        </w:rPr>
        <w:t xml:space="preserve"> </w:t>
      </w:r>
      <w:r w:rsidRPr="00FB5985">
        <w:rPr>
          <w:bCs/>
        </w:rPr>
        <w:t>et Aurélien Breuil</w:t>
      </w:r>
      <w:r>
        <w:rPr>
          <w:bCs/>
        </w:rPr>
        <w:t xml:space="preserve"> – Solibri</w:t>
      </w:r>
    </w:p>
    <w:p w14:paraId="61E1BB14" w14:textId="77777777" w:rsidR="00FB5985" w:rsidRPr="00FB5985" w:rsidRDefault="00FB5985" w:rsidP="00FB5985">
      <w:pPr>
        <w:jc w:val="both"/>
      </w:pPr>
      <w:r w:rsidRPr="00FB5985">
        <w:rPr>
          <w:bCs/>
        </w:rPr>
        <w:t xml:space="preserve">Eléonore </w:t>
      </w:r>
      <w:proofErr w:type="spellStart"/>
      <w:r w:rsidRPr="00FB5985">
        <w:rPr>
          <w:bCs/>
        </w:rPr>
        <w:t>Lavoine</w:t>
      </w:r>
      <w:proofErr w:type="spellEnd"/>
      <w:r w:rsidRPr="00FB5985">
        <w:rPr>
          <w:bCs/>
        </w:rPr>
        <w:t xml:space="preserve"> et Nathalie Sol</w:t>
      </w:r>
      <w:r>
        <w:rPr>
          <w:bCs/>
        </w:rPr>
        <w:t xml:space="preserve"> - KIMSO</w:t>
      </w:r>
    </w:p>
    <w:p w14:paraId="2BD2E122" w14:textId="77777777" w:rsidR="00FB5985" w:rsidRPr="00335A2B" w:rsidRDefault="00FB5985" w:rsidP="00FB5985">
      <w:pPr>
        <w:jc w:val="both"/>
        <w:rPr>
          <w:bCs/>
        </w:rPr>
      </w:pPr>
    </w:p>
    <w:p w14:paraId="417757CE" w14:textId="22FE66E7" w:rsidR="00335A2B" w:rsidRPr="00335A2B" w:rsidRDefault="001B2769" w:rsidP="00FB5985">
      <w:pPr>
        <w:jc w:val="both"/>
        <w:rPr>
          <w:bCs/>
          <w:i/>
        </w:rPr>
      </w:pPr>
      <w:r w:rsidRPr="00335A2B">
        <w:rPr>
          <w:bCs/>
          <w:i/>
        </w:rPr>
        <w:t>Membres du c</w:t>
      </w:r>
      <w:r w:rsidR="00FB5985" w:rsidRPr="00335A2B">
        <w:rPr>
          <w:bCs/>
          <w:i/>
        </w:rPr>
        <w:t>omité d</w:t>
      </w:r>
      <w:r w:rsidRPr="00335A2B">
        <w:rPr>
          <w:bCs/>
          <w:i/>
        </w:rPr>
        <w:t>’experts</w:t>
      </w:r>
      <w:r w:rsidR="00770B60">
        <w:rPr>
          <w:bCs/>
          <w:i/>
        </w:rPr>
        <w:t xml:space="preserve"> </w:t>
      </w:r>
      <w:r w:rsidR="00FB5985" w:rsidRPr="00335A2B">
        <w:rPr>
          <w:bCs/>
          <w:i/>
        </w:rPr>
        <w:t xml:space="preserve">: </w:t>
      </w:r>
    </w:p>
    <w:p w14:paraId="5D71DFDA" w14:textId="4A441D6A" w:rsidR="00FB5985" w:rsidRPr="00FB5985" w:rsidRDefault="00FB5985" w:rsidP="00FB5985">
      <w:pPr>
        <w:jc w:val="both"/>
      </w:pPr>
      <w:r w:rsidRPr="00FB5985">
        <w:t xml:space="preserve">Didier </w:t>
      </w:r>
      <w:proofErr w:type="spellStart"/>
      <w:r w:rsidRPr="00FB5985">
        <w:t>Chérel</w:t>
      </w:r>
      <w:proofErr w:type="spellEnd"/>
      <w:r w:rsidRPr="00FB5985">
        <w:t xml:space="preserve"> </w:t>
      </w:r>
      <w:r w:rsidR="00335A2B">
        <w:t>(</w:t>
      </w:r>
      <w:r w:rsidR="00335A2B" w:rsidRPr="00335A2B">
        <w:rPr>
          <w:bCs/>
        </w:rPr>
        <w:t>visioconférence)</w:t>
      </w:r>
      <w:r w:rsidR="00335A2B">
        <w:rPr>
          <w:bCs/>
        </w:rPr>
        <w:t xml:space="preserve"> </w:t>
      </w:r>
      <w:r w:rsidRPr="00FB5985">
        <w:t xml:space="preserve">- ADEME </w:t>
      </w:r>
    </w:p>
    <w:p w14:paraId="74A586FC" w14:textId="73B0373D" w:rsidR="00FB5985" w:rsidRPr="00FB5985" w:rsidRDefault="00FB5985" w:rsidP="00FB5985">
      <w:pPr>
        <w:jc w:val="both"/>
      </w:pPr>
      <w:r w:rsidRPr="00FB5985">
        <w:t xml:space="preserve">Marie-Christine </w:t>
      </w:r>
      <w:proofErr w:type="spellStart"/>
      <w:r w:rsidRPr="00FB5985">
        <w:t>Zelem</w:t>
      </w:r>
      <w:proofErr w:type="spellEnd"/>
      <w:r w:rsidRPr="00FB5985">
        <w:t xml:space="preserve"> </w:t>
      </w:r>
      <w:r w:rsidR="00335A2B">
        <w:t>(</w:t>
      </w:r>
      <w:r w:rsidR="00335A2B" w:rsidRPr="00335A2B">
        <w:rPr>
          <w:bCs/>
        </w:rPr>
        <w:t>visioconférence)</w:t>
      </w:r>
      <w:r w:rsidR="00335A2B">
        <w:rPr>
          <w:bCs/>
        </w:rPr>
        <w:t xml:space="preserve"> </w:t>
      </w:r>
      <w:r w:rsidRPr="00FB5985">
        <w:t>– Université de Toulouse</w:t>
      </w:r>
    </w:p>
    <w:p w14:paraId="0D3854C1" w14:textId="77777777" w:rsidR="00FB5985" w:rsidRPr="00FB5985" w:rsidRDefault="00FB5985" w:rsidP="00FB5985">
      <w:pPr>
        <w:jc w:val="both"/>
      </w:pPr>
      <w:proofErr w:type="spellStart"/>
      <w:r w:rsidRPr="00FB5985">
        <w:rPr>
          <w:bCs/>
        </w:rPr>
        <w:t>Eric</w:t>
      </w:r>
      <w:proofErr w:type="spellEnd"/>
      <w:r w:rsidRPr="00FB5985">
        <w:rPr>
          <w:bCs/>
        </w:rPr>
        <w:t xml:space="preserve"> </w:t>
      </w:r>
      <w:proofErr w:type="spellStart"/>
      <w:r w:rsidRPr="00FB5985">
        <w:rPr>
          <w:bCs/>
        </w:rPr>
        <w:t>Lagandre</w:t>
      </w:r>
      <w:proofErr w:type="spellEnd"/>
      <w:r w:rsidRPr="00FB5985">
        <w:rPr>
          <w:bCs/>
        </w:rPr>
        <w:t xml:space="preserve"> – ANAH</w:t>
      </w:r>
    </w:p>
    <w:p w14:paraId="4BBE4948" w14:textId="77777777" w:rsidR="00AC1ABA" w:rsidRDefault="00AC1ABA" w:rsidP="001B2769">
      <w:pPr>
        <w:jc w:val="both"/>
        <w:rPr>
          <w:bCs/>
        </w:rPr>
      </w:pPr>
    </w:p>
    <w:p w14:paraId="4B719099" w14:textId="6A18CC6D" w:rsidR="00AC1ABA" w:rsidRPr="00335A2B" w:rsidRDefault="00AC1ABA" w:rsidP="001B2769">
      <w:pPr>
        <w:jc w:val="both"/>
        <w:rPr>
          <w:bCs/>
          <w:i/>
        </w:rPr>
      </w:pPr>
      <w:r w:rsidRPr="00335A2B">
        <w:rPr>
          <w:bCs/>
          <w:i/>
        </w:rPr>
        <w:t>Membre du comité de pilotage</w:t>
      </w:r>
      <w:r w:rsidR="00770B60">
        <w:rPr>
          <w:bCs/>
          <w:i/>
        </w:rPr>
        <w:t> :</w:t>
      </w:r>
    </w:p>
    <w:p w14:paraId="02D75219" w14:textId="3F1A6C0E" w:rsidR="001B2769" w:rsidRPr="00FB5985" w:rsidRDefault="001B2769" w:rsidP="001B2769">
      <w:pPr>
        <w:jc w:val="both"/>
      </w:pPr>
      <w:r w:rsidRPr="00FB5985">
        <w:rPr>
          <w:bCs/>
        </w:rPr>
        <w:t xml:space="preserve">Mathilde </w:t>
      </w:r>
      <w:proofErr w:type="spellStart"/>
      <w:r w:rsidRPr="00FB5985">
        <w:rPr>
          <w:bCs/>
        </w:rPr>
        <w:t>Leyge</w:t>
      </w:r>
      <w:proofErr w:type="spellEnd"/>
      <w:r w:rsidR="00335A2B" w:rsidRPr="00335A2B">
        <w:rPr>
          <w:bCs/>
        </w:rPr>
        <w:t xml:space="preserve"> </w:t>
      </w:r>
      <w:r w:rsidR="00335A2B">
        <w:rPr>
          <w:bCs/>
        </w:rPr>
        <w:t>(</w:t>
      </w:r>
      <w:r w:rsidR="00335A2B" w:rsidRPr="00335A2B">
        <w:rPr>
          <w:bCs/>
        </w:rPr>
        <w:t>visioconférence)</w:t>
      </w:r>
      <w:r w:rsidR="00335A2B">
        <w:rPr>
          <w:bCs/>
        </w:rPr>
        <w:t xml:space="preserve"> </w:t>
      </w:r>
      <w:r w:rsidRPr="00FB5985">
        <w:rPr>
          <w:bCs/>
        </w:rPr>
        <w:t xml:space="preserve"> - DGEC</w:t>
      </w:r>
    </w:p>
    <w:p w14:paraId="45183679" w14:textId="77777777" w:rsidR="00FB5985" w:rsidRPr="00FB5985" w:rsidRDefault="00FB5985" w:rsidP="00FB5985">
      <w:pPr>
        <w:jc w:val="both"/>
        <w:rPr>
          <w:bCs/>
        </w:rPr>
      </w:pPr>
    </w:p>
    <w:p w14:paraId="4CEE88F0" w14:textId="546757E0" w:rsidR="00FB5985" w:rsidRPr="00FB5985" w:rsidRDefault="00FB5985" w:rsidP="00FB5985">
      <w:pPr>
        <w:jc w:val="both"/>
        <w:rPr>
          <w:i/>
        </w:rPr>
      </w:pPr>
      <w:r w:rsidRPr="00FB5985">
        <w:rPr>
          <w:bCs/>
          <w:i/>
        </w:rPr>
        <w:t>Collectivités</w:t>
      </w:r>
      <w:r w:rsidR="001B2769">
        <w:rPr>
          <w:bCs/>
          <w:i/>
        </w:rPr>
        <w:t xml:space="preserve"> et partenaires opérationnels impliqués localement dans un SLIME</w:t>
      </w:r>
      <w:r w:rsidRPr="00FB5985">
        <w:rPr>
          <w:i/>
        </w:rPr>
        <w:t> </w:t>
      </w:r>
      <w:r w:rsidR="001B2769">
        <w:rPr>
          <w:i/>
        </w:rPr>
        <w:t>(en visio</w:t>
      </w:r>
      <w:r w:rsidR="00335A2B">
        <w:rPr>
          <w:i/>
        </w:rPr>
        <w:t>conférence</w:t>
      </w:r>
      <w:r w:rsidR="001B2769">
        <w:rPr>
          <w:i/>
        </w:rPr>
        <w:t>)</w:t>
      </w:r>
      <w:r w:rsidR="00770B60">
        <w:rPr>
          <w:i/>
        </w:rPr>
        <w:t xml:space="preserve"> </w:t>
      </w:r>
      <w:r w:rsidRPr="00FB5985">
        <w:rPr>
          <w:i/>
        </w:rPr>
        <w:t>:</w:t>
      </w:r>
    </w:p>
    <w:p w14:paraId="760835E0" w14:textId="77777777" w:rsidR="00FB5985" w:rsidRPr="00FB5985" w:rsidRDefault="00FB5985" w:rsidP="00FB5985">
      <w:pPr>
        <w:jc w:val="both"/>
      </w:pPr>
      <w:r w:rsidRPr="00FB5985">
        <w:rPr>
          <w:bCs/>
        </w:rPr>
        <w:t xml:space="preserve">Florence </w:t>
      </w:r>
      <w:proofErr w:type="spellStart"/>
      <w:r w:rsidRPr="00FB5985">
        <w:rPr>
          <w:bCs/>
        </w:rPr>
        <w:t>Guilcher</w:t>
      </w:r>
      <w:proofErr w:type="spellEnd"/>
      <w:r w:rsidRPr="00FB5985">
        <w:rPr>
          <w:bCs/>
        </w:rPr>
        <w:t xml:space="preserve"> </w:t>
      </w:r>
      <w:r w:rsidRPr="00FB5985">
        <w:t>- CCAS de Grenoble</w:t>
      </w:r>
    </w:p>
    <w:p w14:paraId="3407D8A6" w14:textId="77777777" w:rsidR="00FB5985" w:rsidRPr="00FB5985" w:rsidRDefault="00FB5985" w:rsidP="00FB5985">
      <w:pPr>
        <w:jc w:val="both"/>
      </w:pPr>
      <w:r w:rsidRPr="00FB5985">
        <w:rPr>
          <w:bCs/>
        </w:rPr>
        <w:t xml:space="preserve">Simon </w:t>
      </w:r>
      <w:proofErr w:type="spellStart"/>
      <w:r w:rsidRPr="00FB5985">
        <w:rPr>
          <w:bCs/>
        </w:rPr>
        <w:t>Charbouillot</w:t>
      </w:r>
      <w:proofErr w:type="spellEnd"/>
      <w:r w:rsidRPr="00FB5985">
        <w:rPr>
          <w:bCs/>
        </w:rPr>
        <w:t xml:space="preserve"> </w:t>
      </w:r>
      <w:r w:rsidRPr="00FB5985">
        <w:t xml:space="preserve">- </w:t>
      </w:r>
      <w:proofErr w:type="spellStart"/>
      <w:r w:rsidRPr="00FB5985">
        <w:t>Ulisse</w:t>
      </w:r>
      <w:proofErr w:type="spellEnd"/>
      <w:r w:rsidRPr="00FB5985">
        <w:t xml:space="preserve"> 38 - partenaire opérationnel CCAS de Grenoble</w:t>
      </w:r>
    </w:p>
    <w:p w14:paraId="2C0F1EF7" w14:textId="0D5956FE" w:rsidR="00FB5985" w:rsidRPr="00FB5985" w:rsidRDefault="00FB5985" w:rsidP="00FB5985">
      <w:pPr>
        <w:jc w:val="both"/>
      </w:pPr>
      <w:r w:rsidRPr="00FB5985">
        <w:rPr>
          <w:bCs/>
        </w:rPr>
        <w:t xml:space="preserve">Carole Tual </w:t>
      </w:r>
      <w:r w:rsidRPr="00FB5985">
        <w:t xml:space="preserve">- ALOEN - partenaire opérationnel </w:t>
      </w:r>
      <w:r w:rsidR="001B2769">
        <w:t>du Conseil départemental du Morbihan</w:t>
      </w:r>
    </w:p>
    <w:p w14:paraId="5B23A838" w14:textId="376AFED4" w:rsidR="00FB5985" w:rsidRPr="00FB5985" w:rsidRDefault="00FB5985" w:rsidP="00FB5985">
      <w:pPr>
        <w:jc w:val="both"/>
      </w:pPr>
      <w:r w:rsidRPr="00FB5985">
        <w:rPr>
          <w:bCs/>
        </w:rPr>
        <w:t xml:space="preserve">Claire Label </w:t>
      </w:r>
      <w:r w:rsidRPr="00FB5985">
        <w:t xml:space="preserve">- ALECOB - partenaire opérationnel </w:t>
      </w:r>
      <w:r w:rsidR="001B2769">
        <w:t xml:space="preserve">des conseils départementaux du Morbihan et du Finistère </w:t>
      </w:r>
    </w:p>
    <w:p w14:paraId="01F958EB" w14:textId="1EBED978" w:rsidR="00FB5985" w:rsidRPr="00FB5985" w:rsidRDefault="00FB5985" w:rsidP="00FB5985">
      <w:pPr>
        <w:jc w:val="both"/>
      </w:pPr>
      <w:r w:rsidRPr="00FB5985">
        <w:rPr>
          <w:bCs/>
        </w:rPr>
        <w:t xml:space="preserve">Christine Brusque – </w:t>
      </w:r>
      <w:r w:rsidR="001B2769">
        <w:t xml:space="preserve">Conseil départemental </w:t>
      </w:r>
      <w:r w:rsidRPr="00FB5985">
        <w:rPr>
          <w:bCs/>
        </w:rPr>
        <w:t>du Gard</w:t>
      </w:r>
    </w:p>
    <w:p w14:paraId="55D4EA6A" w14:textId="77777777" w:rsidR="00FB5985" w:rsidRPr="00FB5985" w:rsidRDefault="00FB5985" w:rsidP="00FB5985">
      <w:pPr>
        <w:jc w:val="both"/>
      </w:pPr>
      <w:r w:rsidRPr="00FB5985">
        <w:rPr>
          <w:bCs/>
        </w:rPr>
        <w:t xml:space="preserve">Pierre </w:t>
      </w:r>
      <w:proofErr w:type="spellStart"/>
      <w:r w:rsidRPr="00FB5985">
        <w:rPr>
          <w:bCs/>
        </w:rPr>
        <w:t>Gorsic</w:t>
      </w:r>
      <w:proofErr w:type="spellEnd"/>
      <w:r w:rsidRPr="00FB5985">
        <w:rPr>
          <w:bCs/>
        </w:rPr>
        <w:t xml:space="preserve"> – SYDEV et Christelle </w:t>
      </w:r>
      <w:proofErr w:type="spellStart"/>
      <w:r w:rsidRPr="00FB5985">
        <w:rPr>
          <w:bCs/>
        </w:rPr>
        <w:t>Charier</w:t>
      </w:r>
      <w:proofErr w:type="spellEnd"/>
      <w:r w:rsidRPr="00FB5985">
        <w:rPr>
          <w:bCs/>
        </w:rPr>
        <w:t xml:space="preserve"> Mairie de la Roche s/ </w:t>
      </w:r>
      <w:proofErr w:type="spellStart"/>
      <w:r w:rsidRPr="00FB5985">
        <w:rPr>
          <w:bCs/>
        </w:rPr>
        <w:t>Yon</w:t>
      </w:r>
      <w:proofErr w:type="spellEnd"/>
    </w:p>
    <w:p w14:paraId="6431C371" w14:textId="77777777" w:rsidR="00FB5985" w:rsidRPr="00FB5985" w:rsidRDefault="00FB5985" w:rsidP="00FB5985">
      <w:pPr>
        <w:jc w:val="both"/>
      </w:pPr>
      <w:r w:rsidRPr="00FB5985">
        <w:rPr>
          <w:bCs/>
        </w:rPr>
        <w:t>Julien Gomel – Métropole européenne de Lille</w:t>
      </w:r>
    </w:p>
    <w:p w14:paraId="6423BC36" w14:textId="77777777" w:rsidR="00FB5985" w:rsidRDefault="00FB5985" w:rsidP="00FB5985">
      <w:pPr>
        <w:jc w:val="both"/>
      </w:pPr>
    </w:p>
    <w:p w14:paraId="45A87F66" w14:textId="77777777" w:rsidR="00770B60" w:rsidRDefault="00770B60" w:rsidP="00FB5985">
      <w:pPr>
        <w:jc w:val="both"/>
      </w:pPr>
    </w:p>
    <w:p w14:paraId="6C2C4046" w14:textId="77777777" w:rsidR="00770B60" w:rsidRDefault="00770B60" w:rsidP="00FB5985">
      <w:pPr>
        <w:jc w:val="both"/>
      </w:pPr>
    </w:p>
    <w:p w14:paraId="446B78F3" w14:textId="77777777" w:rsidR="00770B60" w:rsidRDefault="00770B60" w:rsidP="00FB5985">
      <w:pPr>
        <w:jc w:val="both"/>
      </w:pPr>
    </w:p>
    <w:p w14:paraId="6A0BE1CF" w14:textId="77777777" w:rsidR="00770B60" w:rsidRDefault="00770B60" w:rsidP="00FB5985">
      <w:pPr>
        <w:jc w:val="both"/>
      </w:pPr>
    </w:p>
    <w:p w14:paraId="49F84E9D" w14:textId="77777777" w:rsidR="00FB5985" w:rsidRDefault="00FB5985" w:rsidP="00770B60">
      <w:pPr>
        <w:jc w:val="right"/>
      </w:pPr>
      <w:r>
        <w:t xml:space="preserve">Un </w:t>
      </w:r>
      <w:proofErr w:type="spellStart"/>
      <w:r>
        <w:t>Powepoint</w:t>
      </w:r>
      <w:proofErr w:type="spellEnd"/>
      <w:r>
        <w:t xml:space="preserve"> de présentation de la réunion est joint au présent compte-rendu</w:t>
      </w:r>
    </w:p>
    <w:p w14:paraId="55ECC58F" w14:textId="77777777" w:rsidR="00FB5985" w:rsidRDefault="00FB5985" w:rsidP="00FB5985">
      <w:pPr>
        <w:jc w:val="center"/>
      </w:pPr>
    </w:p>
    <w:p w14:paraId="7763E7B2" w14:textId="77777777" w:rsidR="00FB5985" w:rsidRPr="00316CDF" w:rsidRDefault="00316CDF" w:rsidP="00316CDF">
      <w:pPr>
        <w:pStyle w:val="Paragraphedeliste"/>
        <w:numPr>
          <w:ilvl w:val="0"/>
          <w:numId w:val="1"/>
        </w:numPr>
        <w:jc w:val="both"/>
        <w:rPr>
          <w:b/>
          <w:u w:val="single"/>
        </w:rPr>
      </w:pPr>
      <w:r w:rsidRPr="00316CDF">
        <w:rPr>
          <w:b/>
          <w:u w:val="single"/>
        </w:rPr>
        <w:t>Présentation de l’équipe en charge de la réalisation de l’évaluation du SLIME :</w:t>
      </w:r>
    </w:p>
    <w:p w14:paraId="4EBC9551" w14:textId="77777777" w:rsidR="00316CDF" w:rsidRPr="00316CDF" w:rsidRDefault="00316CDF" w:rsidP="00316CDF">
      <w:pPr>
        <w:ind w:left="360"/>
      </w:pPr>
      <w:proofErr w:type="spellStart"/>
      <w:r w:rsidRPr="00316CDF">
        <w:rPr>
          <w:b/>
          <w:bCs/>
        </w:rPr>
        <w:t>KiMSO</w:t>
      </w:r>
      <w:proofErr w:type="spellEnd"/>
      <w:r w:rsidRPr="00316CDF">
        <w:t xml:space="preserve"> est un </w:t>
      </w:r>
      <w:r w:rsidRPr="00316CDF">
        <w:rPr>
          <w:bCs/>
        </w:rPr>
        <w:t>cabinet pionnier de conseil et d’évaluation en impact social</w:t>
      </w:r>
      <w:r w:rsidRPr="00316CDF">
        <w:t>, qui accompagne les organisations dans l</w:t>
      </w:r>
      <w:r w:rsidRPr="00316CDF">
        <w:rPr>
          <w:bCs/>
        </w:rPr>
        <w:t>’optimisation et la valorisation de leurs actions au service de l’intérêt général.</w:t>
      </w:r>
    </w:p>
    <w:p w14:paraId="33B935CB" w14:textId="77777777" w:rsidR="00316CDF" w:rsidRPr="00316CDF" w:rsidRDefault="00316CDF" w:rsidP="00316CDF">
      <w:pPr>
        <w:ind w:left="360"/>
      </w:pPr>
      <w:r w:rsidRPr="00316CDF">
        <w:rPr>
          <w:bCs/>
        </w:rPr>
        <w:t xml:space="preserve">Depuis sa création en septembre 2014, </w:t>
      </w:r>
      <w:r w:rsidRPr="00316CDF">
        <w:t xml:space="preserve">l’équipe a mené à </w:t>
      </w:r>
      <w:r w:rsidRPr="00316CDF">
        <w:rPr>
          <w:bCs/>
        </w:rPr>
        <w:t>plus de cinquante missions d’évaluation d’impact social</w:t>
      </w:r>
      <w:r w:rsidRPr="00316CDF">
        <w:t xml:space="preserve">. </w:t>
      </w:r>
    </w:p>
    <w:p w14:paraId="63517FC4" w14:textId="77777777" w:rsidR="00316CDF" w:rsidRPr="00316CDF" w:rsidRDefault="00316CDF" w:rsidP="00316CDF">
      <w:pPr>
        <w:ind w:left="360"/>
      </w:pPr>
      <w:r w:rsidRPr="00316CDF">
        <w:t xml:space="preserve">Ces missions ont pris la forme </w:t>
      </w:r>
      <w:r w:rsidRPr="00316CDF">
        <w:rPr>
          <w:bCs/>
        </w:rPr>
        <w:t>d’études externes</w:t>
      </w:r>
      <w:r w:rsidRPr="00316CDF">
        <w:t xml:space="preserve">, de </w:t>
      </w:r>
      <w:r w:rsidRPr="00316CDF">
        <w:rPr>
          <w:bCs/>
        </w:rPr>
        <w:t>formations-actions</w:t>
      </w:r>
      <w:r w:rsidRPr="00316CDF">
        <w:t xml:space="preserve"> et de </w:t>
      </w:r>
      <w:r w:rsidRPr="00316CDF">
        <w:rPr>
          <w:bCs/>
        </w:rPr>
        <w:t>mise en place de méthodes et d’outils</w:t>
      </w:r>
      <w:r w:rsidRPr="00316CDF">
        <w:t xml:space="preserve"> spécifiques pour permettre à ses clients d’évaluer leur impact ou celui de leurs investissements. </w:t>
      </w:r>
    </w:p>
    <w:p w14:paraId="489F65EF" w14:textId="77777777" w:rsidR="00316CDF" w:rsidRDefault="00316CDF" w:rsidP="00316CDF">
      <w:pPr>
        <w:ind w:left="360"/>
        <w:jc w:val="both"/>
      </w:pPr>
      <w:r w:rsidRPr="00316CDF">
        <w:rPr>
          <w:i/>
        </w:rPr>
        <w:t>Référents pour la réalisation de la mission</w:t>
      </w:r>
      <w:r>
        <w:t xml:space="preserve"> : Eléonore </w:t>
      </w:r>
      <w:proofErr w:type="spellStart"/>
      <w:r>
        <w:t>Lavoine</w:t>
      </w:r>
      <w:proofErr w:type="spellEnd"/>
      <w:r>
        <w:t xml:space="preserve">, consultante, chef de projet et Emeline </w:t>
      </w:r>
      <w:proofErr w:type="spellStart"/>
      <w:r>
        <w:t>Stievenart</w:t>
      </w:r>
      <w:proofErr w:type="spellEnd"/>
      <w:r>
        <w:t>, directrice associée, responsable mission</w:t>
      </w:r>
    </w:p>
    <w:p w14:paraId="26165299" w14:textId="77777777" w:rsidR="00316CDF" w:rsidRPr="00316CDF" w:rsidRDefault="00316CDF" w:rsidP="00316CDF">
      <w:pPr>
        <w:ind w:left="360"/>
        <w:jc w:val="both"/>
      </w:pPr>
      <w:r w:rsidRPr="00316CDF">
        <w:rPr>
          <w:b/>
          <w:bCs/>
        </w:rPr>
        <w:t xml:space="preserve">Solibri </w:t>
      </w:r>
      <w:r w:rsidRPr="00316CDF">
        <w:t xml:space="preserve">est spécialisée dans la prise en compte des </w:t>
      </w:r>
      <w:r w:rsidRPr="00316CDF">
        <w:rPr>
          <w:bCs/>
        </w:rPr>
        <w:t>problématiques sociales de la transition énergétique</w:t>
      </w:r>
      <w:r w:rsidRPr="00316CDF">
        <w:t xml:space="preserve">. Dotée de compétences sociales, pédagogiques et techniques, l’association </w:t>
      </w:r>
      <w:r w:rsidRPr="00316CDF">
        <w:rPr>
          <w:bCs/>
        </w:rPr>
        <w:t xml:space="preserve">conseille, accompagne et forme les professionnels </w:t>
      </w:r>
      <w:r w:rsidRPr="00316CDF">
        <w:t>dans le développement d’actions de lutte contre la précarité énergétique. Elle agit pour concilier transition énergétique et justice sociale.</w:t>
      </w:r>
    </w:p>
    <w:p w14:paraId="416B8A14" w14:textId="77777777" w:rsidR="00316CDF" w:rsidRDefault="00316CDF" w:rsidP="00316CDF">
      <w:pPr>
        <w:ind w:left="360"/>
        <w:jc w:val="both"/>
      </w:pPr>
      <w:r w:rsidRPr="00316CDF">
        <w:rPr>
          <w:bCs/>
        </w:rPr>
        <w:t>Depuis sa création en juin 2015</w:t>
      </w:r>
      <w:r w:rsidRPr="00316CDF">
        <w:t xml:space="preserve">, l’équipe développe des projets à différentes échelles de territoire, elle a formé </w:t>
      </w:r>
      <w:r w:rsidRPr="00316CDF">
        <w:rPr>
          <w:bCs/>
        </w:rPr>
        <w:t>plus de 100 professionnels et accompagné les collectivités comme les associations</w:t>
      </w:r>
      <w:r w:rsidRPr="00316CDF">
        <w:t xml:space="preserve"> dans leurs actions de lutte contre la précarité énergétique</w:t>
      </w:r>
    </w:p>
    <w:p w14:paraId="559CFA94" w14:textId="77777777" w:rsidR="00316CDF" w:rsidRDefault="00316CDF" w:rsidP="00316CDF">
      <w:pPr>
        <w:ind w:left="360"/>
        <w:jc w:val="both"/>
      </w:pPr>
      <w:r w:rsidRPr="00316CDF">
        <w:rPr>
          <w:i/>
        </w:rPr>
        <w:t>Référents pour la réalisation de la mission</w:t>
      </w:r>
      <w:r>
        <w:rPr>
          <w:i/>
        </w:rPr>
        <w:t xml:space="preserve"> : </w:t>
      </w:r>
      <w:r>
        <w:t>Aurélien Breuil et Claire Bally, responsables de projets</w:t>
      </w:r>
    </w:p>
    <w:p w14:paraId="0245ED64" w14:textId="77777777" w:rsidR="00316CDF" w:rsidRDefault="00316CDF" w:rsidP="00316CDF">
      <w:pPr>
        <w:pStyle w:val="Paragraphedeliste"/>
        <w:numPr>
          <w:ilvl w:val="0"/>
          <w:numId w:val="1"/>
        </w:numPr>
        <w:jc w:val="both"/>
        <w:rPr>
          <w:b/>
          <w:u w:val="single"/>
        </w:rPr>
      </w:pPr>
      <w:r>
        <w:rPr>
          <w:b/>
          <w:u w:val="single"/>
        </w:rPr>
        <w:t>Rappel des objectifs de l’évaluation</w:t>
      </w:r>
      <w:r w:rsidR="00E45BE2">
        <w:rPr>
          <w:b/>
          <w:u w:val="single"/>
        </w:rPr>
        <w:t xml:space="preserve"> par le CLER</w:t>
      </w:r>
      <w:r>
        <w:rPr>
          <w:b/>
          <w:u w:val="single"/>
        </w:rPr>
        <w:t> :</w:t>
      </w:r>
    </w:p>
    <w:p w14:paraId="4FB0BED6" w14:textId="77777777" w:rsidR="00316CDF" w:rsidRDefault="00316CDF" w:rsidP="00316CDF">
      <w:pPr>
        <w:ind w:left="360"/>
        <w:jc w:val="both"/>
      </w:pPr>
      <w:r>
        <w:t>Léa Le Souder, CLER : Nous nous sommes fixés trois objectifs principaux :</w:t>
      </w:r>
    </w:p>
    <w:p w14:paraId="4A9609B6" w14:textId="77777777" w:rsidR="00316CDF" w:rsidRDefault="00316CDF" w:rsidP="00316CDF">
      <w:pPr>
        <w:pStyle w:val="Paragraphedeliste"/>
        <w:numPr>
          <w:ilvl w:val="0"/>
          <w:numId w:val="2"/>
        </w:numPr>
        <w:jc w:val="both"/>
      </w:pPr>
      <w:r>
        <w:t>Comprendre et mesurer l’impact que ce programme a sur la situation des ménages bénéficiaires (amélioration du confort, baisse des factures, etc.) et mesurer l’impact sur les territoires (impact sur les écosystèmes, les jeux d’acteurs). Il s’agira également de chercher des clés de compréhension sur les raisons qui poussent un territoire à se lancer dans un SLIME, les blocages éventuels (facteurs déclencheurs et bloquants) ;</w:t>
      </w:r>
    </w:p>
    <w:p w14:paraId="78FF6028" w14:textId="77777777" w:rsidR="00316CDF" w:rsidRDefault="00316CDF" w:rsidP="00316CDF">
      <w:pPr>
        <w:pStyle w:val="Paragraphedeliste"/>
        <w:numPr>
          <w:ilvl w:val="0"/>
          <w:numId w:val="2"/>
        </w:numPr>
        <w:jc w:val="both"/>
      </w:pPr>
      <w:r>
        <w:t xml:space="preserve">Identifier les opportunités d’amélioration du </w:t>
      </w:r>
      <w:r w:rsidR="00566435">
        <w:t>programme SLIME et des dispositifs locaux : ce qui fonctionne ou pas et les préconisations ;</w:t>
      </w:r>
    </w:p>
    <w:p w14:paraId="7818E4F3" w14:textId="77777777" w:rsidR="00566435" w:rsidRDefault="00566435" w:rsidP="00316CDF">
      <w:pPr>
        <w:pStyle w:val="Paragraphedeliste"/>
        <w:numPr>
          <w:ilvl w:val="0"/>
          <w:numId w:val="2"/>
        </w:numPr>
        <w:jc w:val="both"/>
      </w:pPr>
      <w:r>
        <w:t>Outiller les collectivités en matière d’évaluation via la construction d’un kit d’évaluation leur permettant de prendre en main de manière autonome l’évaluation de leur dispositif.</w:t>
      </w:r>
    </w:p>
    <w:p w14:paraId="6E143962" w14:textId="77777777" w:rsidR="00566435" w:rsidRDefault="00566435" w:rsidP="00566435">
      <w:pPr>
        <w:ind w:left="708"/>
        <w:jc w:val="both"/>
        <w:rPr>
          <w:b/>
          <w:u w:val="single"/>
        </w:rPr>
      </w:pPr>
    </w:p>
    <w:p w14:paraId="18EA4F3A" w14:textId="77777777" w:rsidR="00566435" w:rsidRPr="00566435" w:rsidRDefault="00566435" w:rsidP="00566435">
      <w:pPr>
        <w:pStyle w:val="Paragraphedeliste"/>
        <w:numPr>
          <w:ilvl w:val="0"/>
          <w:numId w:val="1"/>
        </w:numPr>
        <w:jc w:val="both"/>
        <w:rPr>
          <w:b/>
          <w:u w:val="single"/>
        </w:rPr>
      </w:pPr>
      <w:r>
        <w:rPr>
          <w:b/>
          <w:u w:val="single"/>
        </w:rPr>
        <w:t>Présentation de la méthodologie et du calendrier</w:t>
      </w:r>
      <w:r w:rsidR="00761673">
        <w:rPr>
          <w:b/>
          <w:u w:val="single"/>
        </w:rPr>
        <w:t xml:space="preserve"> par le groupement </w:t>
      </w:r>
      <w:proofErr w:type="spellStart"/>
      <w:r w:rsidR="00761673">
        <w:rPr>
          <w:b/>
          <w:u w:val="single"/>
        </w:rPr>
        <w:t>Kimso</w:t>
      </w:r>
      <w:proofErr w:type="spellEnd"/>
      <w:r w:rsidR="00761673">
        <w:rPr>
          <w:b/>
          <w:u w:val="single"/>
        </w:rPr>
        <w:t>/Solibri</w:t>
      </w:r>
      <w:r>
        <w:rPr>
          <w:b/>
          <w:u w:val="single"/>
        </w:rPr>
        <w:t xml:space="preserve"> : </w:t>
      </w:r>
    </w:p>
    <w:p w14:paraId="6FEE29D3" w14:textId="77777777" w:rsidR="00566435" w:rsidRDefault="00566435" w:rsidP="00566435">
      <w:pPr>
        <w:jc w:val="both"/>
      </w:pPr>
      <w:r w:rsidRPr="00761673">
        <w:rPr>
          <w:u w:val="single"/>
        </w:rPr>
        <w:t>Cette évaluation se déroulera en trois volets avec des méthodes distinctes</w:t>
      </w:r>
      <w:r>
        <w:t> :</w:t>
      </w:r>
      <w:r w:rsidR="00E45BE2">
        <w:t xml:space="preserve"> (cf. diapo 8 du PPT)</w:t>
      </w:r>
    </w:p>
    <w:p w14:paraId="1EC787FA" w14:textId="77777777" w:rsidR="00566435" w:rsidRDefault="00E45BE2" w:rsidP="00566435">
      <w:pPr>
        <w:jc w:val="both"/>
      </w:pPr>
      <w:r>
        <w:t>Une</w:t>
      </w:r>
      <w:r w:rsidR="00566435">
        <w:t xml:space="preserve"> méthode quantitative (par suivi d’indicateurs) qui permettra d’évaluer les effets du SLIME sur les ménages (quels changements pour les ménages suites aux visites sociotechniques à domicile) et d’évaluer les dispositifs locaux portés par les collectivités en termes d’efficacité et d’efficience (selon les modalités opérationnelles de mise en place du dispositif).</w:t>
      </w:r>
    </w:p>
    <w:p w14:paraId="67B85344" w14:textId="77777777" w:rsidR="00566435" w:rsidRDefault="00566435" w:rsidP="00566435">
      <w:pPr>
        <w:jc w:val="both"/>
      </w:pPr>
      <w:r>
        <w:lastRenderedPageBreak/>
        <w:t xml:space="preserve">Une méthode qualitative (par entretiens aux collectivités et leurs partenaires) visant à évaluer les effets du programme sur les territoires : rendre compte et comprendre ce qui se passe sur un territoire : les conditions de succès, l’impact sur le territoire (en termes de coordination des acteurs, </w:t>
      </w:r>
      <w:r w:rsidR="00E45BE2">
        <w:t>d’</w:t>
      </w:r>
      <w:r>
        <w:t>effets sur les politiques publiques, etc.</w:t>
      </w:r>
      <w:r w:rsidR="00E45BE2">
        <w:t>) et</w:t>
      </w:r>
      <w:r>
        <w:t xml:space="preserve"> les facteurs déclencheurs à la mise en place d’un SLIME</w:t>
      </w:r>
      <w:r w:rsidR="00E45BE2">
        <w:t xml:space="preserve"> dans une visée de développement d’argumentaires au service des collectivités.</w:t>
      </w:r>
    </w:p>
    <w:p w14:paraId="255F428E" w14:textId="77777777" w:rsidR="00E45BE2" w:rsidRDefault="00E45BE2" w:rsidP="00566435">
      <w:pPr>
        <w:jc w:val="both"/>
      </w:pPr>
      <w:r w:rsidRPr="00761673">
        <w:rPr>
          <w:u w:val="single"/>
        </w:rPr>
        <w:t>Les différentes étapes de cette démarche d’évaluation sont les suivantes</w:t>
      </w:r>
      <w:r>
        <w:t> : (cf. diapo 9 du PPT)</w:t>
      </w:r>
    </w:p>
    <w:p w14:paraId="5288F5CF" w14:textId="77777777" w:rsidR="00E45BE2" w:rsidRDefault="00E45BE2" w:rsidP="00566435">
      <w:pPr>
        <w:jc w:val="both"/>
      </w:pPr>
      <w:r>
        <w:t>Fév</w:t>
      </w:r>
      <w:r w:rsidR="00761673">
        <w:t>rier</w:t>
      </w:r>
      <w:r>
        <w:t>/Mars 2020 : Etape de revue de l’existant permettant de nourrir la réflexion pour élaborer le protocole : prioriser les indicateurs, construire l’échantillonnage et le référentiel d’évaluation ;</w:t>
      </w:r>
    </w:p>
    <w:p w14:paraId="6B4AF730" w14:textId="77777777" w:rsidR="00E45BE2" w:rsidRDefault="00E45BE2" w:rsidP="00566435">
      <w:pPr>
        <w:jc w:val="both"/>
      </w:pPr>
      <w:r>
        <w:t>Mars/Juillet 2020 : Construction des outils de collecte et collecte des données</w:t>
      </w:r>
    </w:p>
    <w:p w14:paraId="35F9E958" w14:textId="77777777" w:rsidR="00E45BE2" w:rsidRDefault="00E45BE2" w:rsidP="00566435">
      <w:pPr>
        <w:jc w:val="both"/>
      </w:pPr>
      <w:r>
        <w:t>Fin juillet 2020 : Analyse des données et consolidation</w:t>
      </w:r>
    </w:p>
    <w:p w14:paraId="4F79A704" w14:textId="77777777" w:rsidR="00E45BE2" w:rsidRDefault="00E45BE2" w:rsidP="00566435">
      <w:pPr>
        <w:jc w:val="both"/>
      </w:pPr>
      <w:r>
        <w:t>Septembre 2020 : Formalisation du rapport d’impact global et capitalisation sur les recommandations</w:t>
      </w:r>
    </w:p>
    <w:p w14:paraId="09091A53" w14:textId="77777777" w:rsidR="00E45BE2" w:rsidRDefault="00761673" w:rsidP="00566435">
      <w:pPr>
        <w:jc w:val="both"/>
      </w:pPr>
      <w:r>
        <w:t>Octobre/Novembre 2020 : Formalisation du kit d’évaluation à destination des collectivités. Ce kit sera construit tout au long des différentes étapes d’évaluation afin de répondre au plus près aux attentes des collectivités.</w:t>
      </w:r>
    </w:p>
    <w:p w14:paraId="3D439BC6" w14:textId="77777777" w:rsidR="00761673" w:rsidRDefault="00761673" w:rsidP="00566435">
      <w:pPr>
        <w:jc w:val="both"/>
      </w:pPr>
      <w:r w:rsidRPr="00761673">
        <w:rPr>
          <w:u w:val="single"/>
        </w:rPr>
        <w:t>5 livrables seront produits</w:t>
      </w:r>
      <w:r>
        <w:t> :</w:t>
      </w:r>
    </w:p>
    <w:p w14:paraId="65BBC88E" w14:textId="77777777" w:rsidR="00761673" w:rsidRDefault="00761673" w:rsidP="00761673">
      <w:pPr>
        <w:pStyle w:val="Paragraphedeliste"/>
        <w:numPr>
          <w:ilvl w:val="0"/>
          <w:numId w:val="3"/>
        </w:numPr>
        <w:jc w:val="both"/>
      </w:pPr>
      <w:r>
        <w:t>Une note de cadrage à l’issue de la présente réunion ;</w:t>
      </w:r>
    </w:p>
    <w:p w14:paraId="7009D051" w14:textId="77777777" w:rsidR="00761673" w:rsidRDefault="00761673" w:rsidP="00761673">
      <w:pPr>
        <w:pStyle w:val="Paragraphedeliste"/>
        <w:numPr>
          <w:ilvl w:val="0"/>
          <w:numId w:val="3"/>
        </w:numPr>
        <w:jc w:val="both"/>
      </w:pPr>
      <w:r>
        <w:t>Cette note de cadrage servira à construire le référentiel d’évaluation, les outils de collecte et le protocole présentés lors d’une réunion intermédiaire ;</w:t>
      </w:r>
    </w:p>
    <w:p w14:paraId="4389A05F" w14:textId="77777777" w:rsidR="00761673" w:rsidRDefault="00761673" w:rsidP="00761673">
      <w:pPr>
        <w:pStyle w:val="Paragraphedeliste"/>
        <w:numPr>
          <w:ilvl w:val="0"/>
          <w:numId w:val="3"/>
        </w:numPr>
        <w:jc w:val="both"/>
      </w:pPr>
      <w:r>
        <w:t>Un rapport final à l’issue de la collecte et de l’analyse des données présenté lors de la restitution finale ;</w:t>
      </w:r>
    </w:p>
    <w:p w14:paraId="11DA3A8D" w14:textId="77777777" w:rsidR="00761673" w:rsidRDefault="00761673" w:rsidP="00761673">
      <w:pPr>
        <w:pStyle w:val="Paragraphedeliste"/>
        <w:numPr>
          <w:ilvl w:val="0"/>
          <w:numId w:val="3"/>
        </w:numPr>
        <w:jc w:val="both"/>
      </w:pPr>
      <w:r>
        <w:t>Une synthèse communicante ;</w:t>
      </w:r>
    </w:p>
    <w:p w14:paraId="7C04E51F" w14:textId="77777777" w:rsidR="00761673" w:rsidRDefault="00761673" w:rsidP="00761673">
      <w:pPr>
        <w:pStyle w:val="Paragraphedeliste"/>
        <w:numPr>
          <w:ilvl w:val="0"/>
          <w:numId w:val="3"/>
        </w:numPr>
        <w:jc w:val="both"/>
      </w:pPr>
      <w:r>
        <w:t>Un kit d’évaluation présenté lors de la réunion de bilan.</w:t>
      </w:r>
    </w:p>
    <w:p w14:paraId="62D6D56A" w14:textId="77777777" w:rsidR="00761673" w:rsidRDefault="00761673" w:rsidP="00761673">
      <w:pPr>
        <w:pStyle w:val="Paragraphedeliste"/>
        <w:jc w:val="both"/>
      </w:pPr>
    </w:p>
    <w:p w14:paraId="66C626C9" w14:textId="77777777" w:rsidR="00761673" w:rsidRPr="00D72C3D" w:rsidRDefault="00D72C3D" w:rsidP="00761673">
      <w:pPr>
        <w:pStyle w:val="Paragraphedeliste"/>
        <w:numPr>
          <w:ilvl w:val="0"/>
          <w:numId w:val="1"/>
        </w:numPr>
        <w:jc w:val="both"/>
        <w:rPr>
          <w:b/>
          <w:u w:val="single"/>
        </w:rPr>
      </w:pPr>
      <w:r>
        <w:rPr>
          <w:b/>
          <w:u w:val="single"/>
        </w:rPr>
        <w:t xml:space="preserve">Présentation par le CLER de la gouvernance de la mission d’évaluation : </w:t>
      </w:r>
      <w:r>
        <w:t>(cf. diapo 10 du PPT)</w:t>
      </w:r>
    </w:p>
    <w:p w14:paraId="5ACAE0B5" w14:textId="77777777" w:rsidR="000B3AA0" w:rsidRPr="00D72C3D" w:rsidRDefault="00D72C3D" w:rsidP="00D72C3D">
      <w:pPr>
        <w:tabs>
          <w:tab w:val="num" w:pos="1440"/>
        </w:tabs>
        <w:jc w:val="both"/>
      </w:pPr>
      <w:r>
        <w:t xml:space="preserve">Le Comité de pilotage sera informé </w:t>
      </w:r>
      <w:r w:rsidR="00011A57" w:rsidRPr="00D72C3D">
        <w:t xml:space="preserve">de l’avancement de la mission d’évaluation lors des </w:t>
      </w:r>
      <w:r>
        <w:t xml:space="preserve">COPIL d’avril et de septembre et </w:t>
      </w:r>
      <w:r w:rsidR="00011A57" w:rsidRPr="00D72C3D">
        <w:t>se verra présenter les principaux résultats lors du COPIL de décembre</w:t>
      </w:r>
      <w:r>
        <w:t>.</w:t>
      </w:r>
    </w:p>
    <w:p w14:paraId="4CD08B30" w14:textId="77777777" w:rsidR="00B16DAC" w:rsidRDefault="00D72C3D" w:rsidP="00D72C3D">
      <w:pPr>
        <w:tabs>
          <w:tab w:val="num" w:pos="1440"/>
        </w:tabs>
        <w:jc w:val="both"/>
        <w:sectPr w:rsidR="00B16DAC" w:rsidSect="00FB5985">
          <w:headerReference w:type="default" r:id="rId8"/>
          <w:pgSz w:w="11906" w:h="16838"/>
          <w:pgMar w:top="1417" w:right="1417" w:bottom="1417" w:left="1417" w:header="708" w:footer="708" w:gutter="0"/>
          <w:cols w:space="708"/>
          <w:docGrid w:linePitch="360"/>
        </w:sectPr>
      </w:pPr>
      <w:r>
        <w:t xml:space="preserve">Le Comité de suivi </w:t>
      </w:r>
      <w:r w:rsidR="00011A57" w:rsidRPr="00D72C3D">
        <w:t>sera impliqué lors des réunions clés de la mission (point intermédiaire, restitution finale et bilan)</w:t>
      </w:r>
      <w:r>
        <w:t xml:space="preserve"> et </w:t>
      </w:r>
      <w:r w:rsidR="00011A57" w:rsidRPr="00D72C3D">
        <w:t>sera sollicité au besoin au cours de la mission pour son expertise</w:t>
      </w:r>
      <w:r>
        <w:t>.</w:t>
      </w:r>
    </w:p>
    <w:p w14:paraId="341B6AFA" w14:textId="1C24DA1F" w:rsidR="000B3AA0" w:rsidRPr="00D72C3D" w:rsidRDefault="000B3AA0" w:rsidP="00D72C3D">
      <w:pPr>
        <w:tabs>
          <w:tab w:val="num" w:pos="1440"/>
        </w:tabs>
        <w:jc w:val="both"/>
      </w:pPr>
    </w:p>
    <w:p w14:paraId="1AE3CFE4" w14:textId="77777777" w:rsidR="00D72C3D" w:rsidRPr="0080703E" w:rsidRDefault="00D72C3D" w:rsidP="00D72C3D">
      <w:pPr>
        <w:pStyle w:val="Paragraphedeliste"/>
        <w:numPr>
          <w:ilvl w:val="0"/>
          <w:numId w:val="1"/>
        </w:numPr>
        <w:jc w:val="both"/>
        <w:rPr>
          <w:b/>
          <w:u w:val="single"/>
        </w:rPr>
      </w:pPr>
      <w:r w:rsidRPr="0080703E">
        <w:rPr>
          <w:b/>
          <w:u w:val="single"/>
        </w:rPr>
        <w:t>Discussion sur les objectifs de l’évaluation et la méthode proposée</w:t>
      </w:r>
    </w:p>
    <w:tbl>
      <w:tblPr>
        <w:tblStyle w:val="Grilledutableau"/>
        <w:tblW w:w="14312" w:type="dxa"/>
        <w:tblLook w:val="04A0" w:firstRow="1" w:lastRow="0" w:firstColumn="1" w:lastColumn="0" w:noHBand="0" w:noVBand="1"/>
      </w:tblPr>
      <w:tblGrid>
        <w:gridCol w:w="7083"/>
        <w:gridCol w:w="7229"/>
      </w:tblGrid>
      <w:tr w:rsidR="0080703E" w:rsidRPr="0080703E" w14:paraId="48A0AE91" w14:textId="77777777" w:rsidTr="009546DE">
        <w:trPr>
          <w:tblHeader/>
        </w:trPr>
        <w:tc>
          <w:tcPr>
            <w:tcW w:w="7083" w:type="dxa"/>
            <w:shd w:val="clear" w:color="auto" w:fill="D9D9D9" w:themeFill="background1" w:themeFillShade="D9"/>
          </w:tcPr>
          <w:p w14:paraId="13CBE84F" w14:textId="23104A1F" w:rsidR="0080703E" w:rsidRPr="0080703E" w:rsidRDefault="0080703E" w:rsidP="00F115A1">
            <w:pPr>
              <w:jc w:val="center"/>
              <w:rPr>
                <w:b/>
              </w:rPr>
            </w:pPr>
            <w:r w:rsidRPr="0080703E">
              <w:rPr>
                <w:b/>
              </w:rPr>
              <w:t>Questions et remarques des participants</w:t>
            </w:r>
          </w:p>
        </w:tc>
        <w:tc>
          <w:tcPr>
            <w:tcW w:w="7229" w:type="dxa"/>
            <w:shd w:val="clear" w:color="auto" w:fill="D9D9D9" w:themeFill="background1" w:themeFillShade="D9"/>
          </w:tcPr>
          <w:p w14:paraId="109BEB5B" w14:textId="5F10D4CE" w:rsidR="0080703E" w:rsidRPr="0080703E" w:rsidRDefault="0080703E" w:rsidP="00F115A1">
            <w:pPr>
              <w:jc w:val="center"/>
              <w:rPr>
                <w:b/>
              </w:rPr>
            </w:pPr>
            <w:r w:rsidRPr="0080703E">
              <w:rPr>
                <w:b/>
              </w:rPr>
              <w:t>Réponses apportées</w:t>
            </w:r>
          </w:p>
        </w:tc>
      </w:tr>
      <w:tr w:rsidR="0080703E" w14:paraId="2855AC6C" w14:textId="77777777" w:rsidTr="00B16DAC">
        <w:tc>
          <w:tcPr>
            <w:tcW w:w="7083" w:type="dxa"/>
          </w:tcPr>
          <w:p w14:paraId="7883C94D" w14:textId="77777777" w:rsidR="0080703E" w:rsidRDefault="0080703E" w:rsidP="00D72C3D">
            <w:pPr>
              <w:jc w:val="both"/>
            </w:pPr>
            <w:r>
              <w:t xml:space="preserve">Didier </w:t>
            </w:r>
            <w:proofErr w:type="spellStart"/>
            <w:r>
              <w:t>Cherel</w:t>
            </w:r>
            <w:proofErr w:type="spellEnd"/>
            <w:r w:rsidR="00244B54">
              <w:t>, ADEME</w:t>
            </w:r>
            <w:r>
              <w:t xml:space="preserve"> (DC) : S’interroge sur </w:t>
            </w:r>
            <w:r w:rsidRPr="00EC0151">
              <w:t>les objectifs de l’évaluation</w:t>
            </w:r>
            <w:r w:rsidR="006F2A98">
              <w:t xml:space="preserve"> focalisée sur le local alors que le SLIME est un dispositif national. Une </w:t>
            </w:r>
            <w:r w:rsidR="006F2A98" w:rsidRPr="00EC0151">
              <w:rPr>
                <w:b/>
              </w:rPr>
              <w:t>évaluation de l’efficacité et l’efficience du programme dans sa globalité</w:t>
            </w:r>
            <w:r w:rsidR="006F2A98">
              <w:t xml:space="preserve"> serait pertinente</w:t>
            </w:r>
            <w:r w:rsidR="00244B54">
              <w:t>.</w:t>
            </w:r>
          </w:p>
          <w:p w14:paraId="0E07E341" w14:textId="77777777" w:rsidR="00F115A1" w:rsidRDefault="00F115A1" w:rsidP="00D72C3D">
            <w:pPr>
              <w:jc w:val="both"/>
            </w:pPr>
          </w:p>
          <w:p w14:paraId="72CE861B" w14:textId="52AF405E" w:rsidR="00F115A1" w:rsidRDefault="00F115A1" w:rsidP="00F115A1">
            <w:pPr>
              <w:spacing w:after="160" w:line="259" w:lineRule="auto"/>
              <w:jc w:val="both"/>
              <w:rPr>
                <w:bCs/>
              </w:rPr>
            </w:pPr>
            <w:r>
              <w:rPr>
                <w:bCs/>
              </w:rPr>
              <w:t xml:space="preserve">Mathilde </w:t>
            </w:r>
            <w:proofErr w:type="spellStart"/>
            <w:r>
              <w:rPr>
                <w:bCs/>
              </w:rPr>
              <w:t>Leyge</w:t>
            </w:r>
            <w:proofErr w:type="spellEnd"/>
            <w:r>
              <w:rPr>
                <w:bCs/>
              </w:rPr>
              <w:t xml:space="preserve">, </w:t>
            </w:r>
            <w:r w:rsidRPr="00FB5985">
              <w:rPr>
                <w:bCs/>
              </w:rPr>
              <w:t>DGEC</w:t>
            </w:r>
            <w:r>
              <w:rPr>
                <w:bCs/>
              </w:rPr>
              <w:t xml:space="preserve"> (ML) : Rejoint les recommandations de Didier </w:t>
            </w:r>
            <w:proofErr w:type="spellStart"/>
            <w:r>
              <w:rPr>
                <w:bCs/>
              </w:rPr>
              <w:t>Cherel</w:t>
            </w:r>
            <w:proofErr w:type="spellEnd"/>
            <w:r>
              <w:rPr>
                <w:bCs/>
              </w:rPr>
              <w:t xml:space="preserve"> et notamment les remarques concernant l’efficacité et l’efficience du programme SLIME au niveau national (et particulièrement l’analyse des éléments financiers). Mathilde </w:t>
            </w:r>
            <w:proofErr w:type="spellStart"/>
            <w:r>
              <w:rPr>
                <w:bCs/>
              </w:rPr>
              <w:t>Leyge</w:t>
            </w:r>
            <w:proofErr w:type="spellEnd"/>
            <w:r>
              <w:rPr>
                <w:bCs/>
              </w:rPr>
              <w:t xml:space="preserve"> souligne que l’audit financier qui sera réalisé portera sur la période 2019 au cours de laquelle le CLER reversait les financements aux collectivités. Il est dommage de passer à côté des six années précédentes pour lesquelles les collectivités finançaient en direct le programme et récupéraient les CEE. Il est également pertinent de recueillir les retours des collectivités sur la prise en main d</w:t>
            </w:r>
            <w:r w:rsidR="001B2769">
              <w:rPr>
                <w:bCs/>
              </w:rPr>
              <w:t>e la mécanique</w:t>
            </w:r>
            <w:r>
              <w:rPr>
                <w:bCs/>
              </w:rPr>
              <w:t xml:space="preserve"> CEE</w:t>
            </w:r>
            <w:r w:rsidR="001B2769">
              <w:rPr>
                <w:bCs/>
              </w:rPr>
              <w:t xml:space="preserve"> selon les 2 circuits financiers (avant et après 2018)</w:t>
            </w:r>
            <w:r>
              <w:rPr>
                <w:bCs/>
              </w:rPr>
              <w:t>.</w:t>
            </w:r>
          </w:p>
          <w:p w14:paraId="77FBB2D1" w14:textId="77777777" w:rsidR="00F115A1" w:rsidRPr="00FB5985" w:rsidRDefault="00F115A1" w:rsidP="00F115A1">
            <w:pPr>
              <w:spacing w:after="160" w:line="259" w:lineRule="auto"/>
              <w:jc w:val="both"/>
            </w:pPr>
            <w:r>
              <w:rPr>
                <w:bCs/>
              </w:rPr>
              <w:t xml:space="preserve">Pierre </w:t>
            </w:r>
            <w:proofErr w:type="spellStart"/>
            <w:r>
              <w:rPr>
                <w:bCs/>
              </w:rPr>
              <w:t>Gorsic</w:t>
            </w:r>
            <w:proofErr w:type="spellEnd"/>
            <w:r>
              <w:rPr>
                <w:bCs/>
              </w:rPr>
              <w:t>, SYDEV (PG) : Les résultats de l’action du SLIME sont intimement liés au portage politique local. Tant sur la massification du nombre de territoires couverts que sur les moyens, notamment financiers, dédiés par la collectivité. Et surtout depuis le changement de la valorisation des CEE qui a fortement impacté nos collectivités.</w:t>
            </w:r>
          </w:p>
          <w:p w14:paraId="5755C678" w14:textId="16E2B646" w:rsidR="00F115A1" w:rsidRDefault="00F115A1" w:rsidP="00D72C3D">
            <w:pPr>
              <w:jc w:val="both"/>
            </w:pPr>
          </w:p>
        </w:tc>
        <w:tc>
          <w:tcPr>
            <w:tcW w:w="7229" w:type="dxa"/>
          </w:tcPr>
          <w:p w14:paraId="5025B3D5" w14:textId="23AB4DDF" w:rsidR="0080703E" w:rsidRDefault="006F2A98" w:rsidP="00D72C3D">
            <w:pPr>
              <w:jc w:val="both"/>
            </w:pPr>
            <w:r>
              <w:t>Bouchra Zeroual</w:t>
            </w:r>
            <w:r w:rsidR="00244B54">
              <w:t>, CLER</w:t>
            </w:r>
            <w:r>
              <w:t xml:space="preserve"> (BZ) : évaluer les dispositifs locaux permet de </w:t>
            </w:r>
            <w:proofErr w:type="spellStart"/>
            <w:r>
              <w:t>re</w:t>
            </w:r>
            <w:proofErr w:type="spellEnd"/>
            <w:r w:rsidR="00B66FE5">
              <w:t>-</w:t>
            </w:r>
            <w:r>
              <w:t>questionner la méthodologie au niveau national. Concernant l’efficience du programme au niveau national, un au</w:t>
            </w:r>
            <w:r w:rsidR="00EC0151">
              <w:t>dit financier est prévu en 2020.</w:t>
            </w:r>
          </w:p>
          <w:p w14:paraId="5170DDFA" w14:textId="77777777" w:rsidR="00EC0151" w:rsidRDefault="00EC0151" w:rsidP="00D72C3D">
            <w:pPr>
              <w:jc w:val="both"/>
            </w:pPr>
          </w:p>
          <w:p w14:paraId="10ABC29D" w14:textId="0CBB38E7" w:rsidR="00EC0151" w:rsidRDefault="00EC0151" w:rsidP="00F115A1">
            <w:pPr>
              <w:jc w:val="both"/>
            </w:pPr>
          </w:p>
        </w:tc>
      </w:tr>
      <w:tr w:rsidR="0080703E" w14:paraId="1CA74456" w14:textId="77777777" w:rsidTr="00B16DAC">
        <w:tc>
          <w:tcPr>
            <w:tcW w:w="7083" w:type="dxa"/>
          </w:tcPr>
          <w:p w14:paraId="6613322F" w14:textId="6079A05B" w:rsidR="0080703E" w:rsidRDefault="006F2A98" w:rsidP="00D72C3D">
            <w:pPr>
              <w:jc w:val="both"/>
            </w:pPr>
            <w:r>
              <w:t xml:space="preserve">DC : Depuis que le programme existe on compte une soixantaine de SLIME, soit une dizaine par an, ce qui n’est pas beaucoup. Pour </w:t>
            </w:r>
            <w:r w:rsidRPr="00244B54">
              <w:rPr>
                <w:b/>
              </w:rPr>
              <w:t>changer d’échelle et massifier</w:t>
            </w:r>
            <w:r>
              <w:t xml:space="preserve"> il serait intéressant </w:t>
            </w:r>
            <w:r w:rsidR="00F115A1">
              <w:t>d’engager une réflexion sur la simplification</w:t>
            </w:r>
            <w:r>
              <w:t xml:space="preserve"> </w:t>
            </w:r>
            <w:r w:rsidR="00F115A1">
              <w:t>du</w:t>
            </w:r>
            <w:r>
              <w:t xml:space="preserve"> dispositif</w:t>
            </w:r>
            <w:r w:rsidR="00244B54">
              <w:t xml:space="preserve"> et </w:t>
            </w:r>
            <w:r w:rsidR="00244B54" w:rsidRPr="00244B54">
              <w:rPr>
                <w:b/>
              </w:rPr>
              <w:t>d’aller interroger les collectivités qui ne sont plus actives pour en connaître les raisons</w:t>
            </w:r>
            <w:r w:rsidR="00244B54">
              <w:t>.</w:t>
            </w:r>
          </w:p>
          <w:p w14:paraId="1C8E5A3A" w14:textId="77777777" w:rsidR="003632D1" w:rsidRDefault="003632D1" w:rsidP="003632D1">
            <w:pPr>
              <w:jc w:val="both"/>
            </w:pPr>
          </w:p>
          <w:p w14:paraId="3509B639" w14:textId="77777777" w:rsidR="003632D1" w:rsidRDefault="003632D1" w:rsidP="003632D1">
            <w:pPr>
              <w:jc w:val="both"/>
            </w:pPr>
            <w:r>
              <w:t xml:space="preserve">Marie-Christine </w:t>
            </w:r>
            <w:proofErr w:type="spellStart"/>
            <w:r>
              <w:t>Zelem</w:t>
            </w:r>
            <w:proofErr w:type="spellEnd"/>
            <w:r>
              <w:t xml:space="preserve">, Université de Toulouse (MCZ) : Partage l’intérêt d’interroger les collectivités sorties du dispositif pour évaluer les difficultés, les contraintes et performer le programme. Concernant la massification, attention à garder la souplesse qui permet aux acteurs de trouver des solutions à leur échelle, des systèmes D, des astuces. </w:t>
            </w:r>
          </w:p>
          <w:p w14:paraId="50A08984" w14:textId="77777777" w:rsidR="00F115A1" w:rsidRDefault="00F115A1" w:rsidP="003632D1">
            <w:pPr>
              <w:jc w:val="both"/>
            </w:pPr>
          </w:p>
          <w:p w14:paraId="79C4653A" w14:textId="3FC83BF9" w:rsidR="00F115A1" w:rsidRDefault="00F115A1" w:rsidP="003632D1">
            <w:pPr>
              <w:jc w:val="both"/>
            </w:pPr>
            <w:r>
              <w:t>Carole Tual, ALOEN (CT): les SLIME doivent rester souples et agiles.</w:t>
            </w:r>
          </w:p>
        </w:tc>
        <w:tc>
          <w:tcPr>
            <w:tcW w:w="7229" w:type="dxa"/>
          </w:tcPr>
          <w:p w14:paraId="64563B0E" w14:textId="346B8ED3" w:rsidR="0080703E" w:rsidRDefault="00244B54" w:rsidP="00D72C3D">
            <w:pPr>
              <w:jc w:val="both"/>
            </w:pPr>
            <w:r>
              <w:lastRenderedPageBreak/>
              <w:t>BZ : La massification n’est pas simple et nous ne sommes pas encore en 2020 dans une optique de changement d’échelle. Il semble en effet intéressant de comprendre pourquoi certaines collectivités ont arrêté leur SLIME. Aujourd’hui on compte une quarantaine de collectivités actives.</w:t>
            </w:r>
          </w:p>
          <w:p w14:paraId="7E6C5289" w14:textId="61CF48D7" w:rsidR="003632D1" w:rsidRDefault="003632D1" w:rsidP="003632D1">
            <w:pPr>
              <w:jc w:val="both"/>
            </w:pPr>
            <w:r>
              <w:lastRenderedPageBreak/>
              <w:t xml:space="preserve">S’il y a un intérêt certain à permettre l’adaptation du dispositif en fonction des spécificités et des contraintes de chaque territoire, nous souhaitons néanmoins disposer de recommandations sur la manière de déployer un SLIME. </w:t>
            </w:r>
          </w:p>
        </w:tc>
      </w:tr>
      <w:tr w:rsidR="0080703E" w14:paraId="6FBCC273" w14:textId="77777777" w:rsidTr="00B16DAC">
        <w:tc>
          <w:tcPr>
            <w:tcW w:w="7083" w:type="dxa"/>
          </w:tcPr>
          <w:p w14:paraId="57F566BD" w14:textId="7542492F" w:rsidR="0080703E" w:rsidRDefault="00244B54" w:rsidP="00D72C3D">
            <w:pPr>
              <w:jc w:val="both"/>
            </w:pPr>
            <w:r>
              <w:lastRenderedPageBreak/>
              <w:t xml:space="preserve">DC : Concernant le </w:t>
            </w:r>
            <w:r w:rsidRPr="00244B54">
              <w:rPr>
                <w:b/>
              </w:rPr>
              <w:t>kit d’évaluation</w:t>
            </w:r>
            <w:r>
              <w:t>, il serait intéressant que ce kit permette de faire une seconde évaluation par la suite. On aurait pu imaginer 3 phases : une première évaluation auprès de quelques collectivités, la production d’un kit, une évaluation globale puis l’analyse.</w:t>
            </w:r>
          </w:p>
        </w:tc>
        <w:tc>
          <w:tcPr>
            <w:tcW w:w="7229" w:type="dxa"/>
          </w:tcPr>
          <w:p w14:paraId="7C735625" w14:textId="3E1B31C0" w:rsidR="0080703E" w:rsidRDefault="00244B54" w:rsidP="00D72C3D">
            <w:pPr>
              <w:jc w:val="both"/>
            </w:pPr>
            <w:r>
              <w:t xml:space="preserve">Eléonore </w:t>
            </w:r>
            <w:proofErr w:type="spellStart"/>
            <w:r>
              <w:t>Lavoine</w:t>
            </w:r>
            <w:proofErr w:type="spellEnd"/>
            <w:r>
              <w:t xml:space="preserve">, </w:t>
            </w:r>
            <w:proofErr w:type="spellStart"/>
            <w:r>
              <w:t>Kimso</w:t>
            </w:r>
            <w:proofErr w:type="spellEnd"/>
            <w:r>
              <w:t xml:space="preserve"> (EL) : le kit est pensé pour la collectivité afin qu’elle puisse réaliser le bilan de son dispositif et le communiquer aux parties prenantes, à ses partenaires. Il est pensé au service des porteurs de projets. Ceci dit cela n’est pas incompatible avec la proposition de recapitaliser dans un second temps.</w:t>
            </w:r>
          </w:p>
        </w:tc>
      </w:tr>
      <w:tr w:rsidR="00244B54" w14:paraId="721ADA59" w14:textId="77777777" w:rsidTr="00B16DAC">
        <w:tc>
          <w:tcPr>
            <w:tcW w:w="7083" w:type="dxa"/>
          </w:tcPr>
          <w:p w14:paraId="1E9915C4" w14:textId="154FD96E" w:rsidR="00244B54" w:rsidRDefault="00EC0151" w:rsidP="00D72C3D">
            <w:pPr>
              <w:jc w:val="both"/>
            </w:pPr>
            <w:r>
              <w:t xml:space="preserve">DC : Il serait également pertinent de pouvoir </w:t>
            </w:r>
            <w:r w:rsidRPr="00011A57">
              <w:rPr>
                <w:b/>
              </w:rPr>
              <w:t>évaluer l’ensemble des outils mis à disposition des collectivités</w:t>
            </w:r>
            <w:r>
              <w:t xml:space="preserve"> dans le cadre d’un SLIME (séminaire, liste de discussion, formation au diagnostic sociotechnique, </w:t>
            </w:r>
            <w:proofErr w:type="spellStart"/>
            <w:r>
              <w:t>vademecum</w:t>
            </w:r>
            <w:proofErr w:type="spellEnd"/>
            <w:r>
              <w:t>, rencontre nationale, etc.) : comment ils sont utilisés sur le terrain, leur efficacité, les pistes d’amélioration</w:t>
            </w:r>
          </w:p>
        </w:tc>
        <w:tc>
          <w:tcPr>
            <w:tcW w:w="7229" w:type="dxa"/>
          </w:tcPr>
          <w:p w14:paraId="71E4D060" w14:textId="77777777" w:rsidR="00244B54" w:rsidRDefault="00244B54" w:rsidP="00D72C3D">
            <w:pPr>
              <w:jc w:val="both"/>
            </w:pPr>
          </w:p>
        </w:tc>
      </w:tr>
      <w:tr w:rsidR="00244B54" w14:paraId="4C8496F7" w14:textId="77777777" w:rsidTr="00B16DAC">
        <w:tc>
          <w:tcPr>
            <w:tcW w:w="7083" w:type="dxa"/>
          </w:tcPr>
          <w:p w14:paraId="160181D8" w14:textId="7F778D08" w:rsidR="00244B54" w:rsidRDefault="00EC0151" w:rsidP="00D72C3D">
            <w:pPr>
              <w:jc w:val="both"/>
            </w:pPr>
            <w:r>
              <w:t>DC : Ce travail d’évaluation est très précieux et rare et il serait dommage de ne pas le valoriser davantage. Il pourrait être envisagé, en complément du rapport synthétique communiquant</w:t>
            </w:r>
            <w:r w:rsidR="00011A57">
              <w:t xml:space="preserve">, de </w:t>
            </w:r>
            <w:r w:rsidR="00011A57" w:rsidRPr="00011A57">
              <w:rPr>
                <w:b/>
              </w:rPr>
              <w:t>produire un guide valorisant les opérations exemplaires</w:t>
            </w:r>
            <w:r w:rsidR="00011A57">
              <w:t>, ce afin d’inciter d’autres collectivités à rejoindre le programme.</w:t>
            </w:r>
          </w:p>
        </w:tc>
        <w:tc>
          <w:tcPr>
            <w:tcW w:w="7229" w:type="dxa"/>
          </w:tcPr>
          <w:p w14:paraId="52DEE85A" w14:textId="28453C34" w:rsidR="00244B54" w:rsidRDefault="00011A57" w:rsidP="00D72C3D">
            <w:pPr>
              <w:jc w:val="both"/>
            </w:pPr>
            <w:r>
              <w:t xml:space="preserve">Léa Le Souder, CLER (LLS) : cela rejoint nos enjeux de communication qui seront discutés lors du </w:t>
            </w:r>
            <w:r w:rsidR="00B16DAC">
              <w:t>prochain comité d</w:t>
            </w:r>
            <w:r w:rsidR="001B2769">
              <w:t>’experts</w:t>
            </w:r>
            <w:r w:rsidR="00B16DAC">
              <w:t>.</w:t>
            </w:r>
          </w:p>
        </w:tc>
      </w:tr>
      <w:tr w:rsidR="00244B54" w14:paraId="1254F04A" w14:textId="77777777" w:rsidTr="00B16DAC">
        <w:tc>
          <w:tcPr>
            <w:tcW w:w="7083" w:type="dxa"/>
          </w:tcPr>
          <w:p w14:paraId="5E640B16" w14:textId="77777777" w:rsidR="00244B54" w:rsidRDefault="003632D1" w:rsidP="00D72C3D">
            <w:pPr>
              <w:jc w:val="both"/>
            </w:pPr>
            <w:r>
              <w:t>MCZ</w:t>
            </w:r>
            <w:r w:rsidR="00B16DAC">
              <w:t xml:space="preserve"> : S’interroge sur la </w:t>
            </w:r>
            <w:r w:rsidR="00B16DAC" w:rsidRPr="003632D1">
              <w:rPr>
                <w:b/>
              </w:rPr>
              <w:t>pertinence d’une approche quantitative pour évaluer les effets des SLIME sur les ménages</w:t>
            </w:r>
            <w:r w:rsidR="00B16DAC">
              <w:t>, notamment concernant les questions de ressenti, vécu du ménage. De même concernant l’implication des professionnels en contact direct avec les ménages, qui sont à même de témoigner des situations des ménages et de proposer des recommandations.</w:t>
            </w:r>
          </w:p>
          <w:p w14:paraId="3F0A3803" w14:textId="77777777" w:rsidR="00A25D26" w:rsidRDefault="00A25D26" w:rsidP="00D72C3D">
            <w:pPr>
              <w:jc w:val="both"/>
            </w:pPr>
          </w:p>
          <w:p w14:paraId="7FB19A31" w14:textId="6079C524" w:rsidR="00F115A1" w:rsidRDefault="00F115A1" w:rsidP="00D72C3D">
            <w:pPr>
              <w:jc w:val="both"/>
            </w:pPr>
            <w:r>
              <w:t>CT : Partage les propos précédents.</w:t>
            </w:r>
          </w:p>
          <w:p w14:paraId="3DAF60E0" w14:textId="77777777" w:rsidR="00F115A1" w:rsidRDefault="00F115A1" w:rsidP="00D72C3D">
            <w:pPr>
              <w:jc w:val="both"/>
            </w:pPr>
          </w:p>
          <w:p w14:paraId="1B66BE46" w14:textId="77777777" w:rsidR="00A25D26" w:rsidRDefault="00A25D26" w:rsidP="00A25D26">
            <w:pPr>
              <w:jc w:val="both"/>
            </w:pPr>
            <w:r>
              <w:rPr>
                <w:bCs/>
              </w:rPr>
              <w:lastRenderedPageBreak/>
              <w:t xml:space="preserve">Simon </w:t>
            </w:r>
            <w:proofErr w:type="spellStart"/>
            <w:r>
              <w:rPr>
                <w:bCs/>
              </w:rPr>
              <w:t>Charbouillot</w:t>
            </w:r>
            <w:proofErr w:type="spellEnd"/>
            <w:r>
              <w:rPr>
                <w:bCs/>
              </w:rPr>
              <w:t xml:space="preserve">, </w:t>
            </w:r>
            <w:proofErr w:type="spellStart"/>
            <w:r w:rsidRPr="00FB5985">
              <w:t>Ulisse</w:t>
            </w:r>
            <w:proofErr w:type="spellEnd"/>
            <w:r w:rsidRPr="00FB5985">
              <w:t xml:space="preserve"> 38</w:t>
            </w:r>
            <w:r>
              <w:t xml:space="preserve"> (SC) : Apporte son témoignage sur le travail d’évaluation réalisé précédemment par </w:t>
            </w:r>
            <w:proofErr w:type="spellStart"/>
            <w:r>
              <w:t>Kimso</w:t>
            </w:r>
            <w:proofErr w:type="spellEnd"/>
            <w:r>
              <w:t>/Fondation Schneider Electric concernant les dispositifs de visites à domicile : malgré les contraintes, il a été possible d’évaluer l’impact sur les ménages tant d’un point de vue qualitatif (lien social, appropriation du logement) que quantitatif.</w:t>
            </w:r>
          </w:p>
          <w:p w14:paraId="3A6EB7CC" w14:textId="44769915" w:rsidR="00A25D26" w:rsidRDefault="00A25D26" w:rsidP="00A25D26">
            <w:pPr>
              <w:jc w:val="both"/>
            </w:pPr>
            <w:r>
              <w:t xml:space="preserve">Il s’interroge sur les liens qui seront faits entre ce présent travail d’évaluation et les remontées de terrain faites sur le logiciel </w:t>
            </w:r>
            <w:proofErr w:type="spellStart"/>
            <w:r>
              <w:t>SoliDiag</w:t>
            </w:r>
            <w:proofErr w:type="spellEnd"/>
            <w:r>
              <w:t>.</w:t>
            </w:r>
          </w:p>
        </w:tc>
        <w:tc>
          <w:tcPr>
            <w:tcW w:w="7229" w:type="dxa"/>
          </w:tcPr>
          <w:p w14:paraId="14DB9FA3" w14:textId="37DE3265" w:rsidR="00244B54" w:rsidRDefault="00B16DAC" w:rsidP="00D72C3D">
            <w:pPr>
              <w:jc w:val="both"/>
            </w:pPr>
            <w:r>
              <w:lastRenderedPageBreak/>
              <w:t>EL : Si l’approche quantitative est privilégiée</w:t>
            </w:r>
            <w:r w:rsidR="00F000AF">
              <w:t xml:space="preserve"> (échantillon représentatif de 400 ménages selon la méthode des quotas)</w:t>
            </w:r>
            <w:r>
              <w:t>, des espaces seront prévus dans les questionnaires pour prendre en compte les aspects qualitatifs de la situation des ménages</w:t>
            </w:r>
            <w:r w:rsidR="003632D1">
              <w:t>, et traités comme de la matière qualitative.</w:t>
            </w:r>
          </w:p>
          <w:p w14:paraId="4887DDFF" w14:textId="77777777" w:rsidR="00A25D26" w:rsidRDefault="00A25D26" w:rsidP="00D72C3D">
            <w:pPr>
              <w:jc w:val="both"/>
            </w:pPr>
          </w:p>
          <w:p w14:paraId="1F5C58CE" w14:textId="77777777" w:rsidR="00A25D26" w:rsidRDefault="00A25D26" w:rsidP="00D72C3D">
            <w:pPr>
              <w:jc w:val="both"/>
            </w:pPr>
          </w:p>
          <w:p w14:paraId="34C79028" w14:textId="77777777" w:rsidR="00A25D26" w:rsidRDefault="00A25D26" w:rsidP="00D72C3D">
            <w:pPr>
              <w:jc w:val="both"/>
            </w:pPr>
          </w:p>
          <w:p w14:paraId="448DE347" w14:textId="4DAE866E" w:rsidR="00A25D26" w:rsidRDefault="00A25D26" w:rsidP="00D72C3D">
            <w:pPr>
              <w:jc w:val="both"/>
            </w:pPr>
            <w:r>
              <w:lastRenderedPageBreak/>
              <w:t xml:space="preserve">LLS : </w:t>
            </w:r>
            <w:r w:rsidRPr="00770B60">
              <w:t xml:space="preserve">une mission est en cours concernant l’amélioration du logiciel </w:t>
            </w:r>
            <w:proofErr w:type="spellStart"/>
            <w:r w:rsidRPr="00770B60">
              <w:t>SoliDiag</w:t>
            </w:r>
            <w:proofErr w:type="spellEnd"/>
            <w:r w:rsidR="00C612EA" w:rsidRPr="00770B60">
              <w:t xml:space="preserve"> : il est envisagé, dans un second temps, que le logiciel intègre</w:t>
            </w:r>
            <w:r w:rsidRPr="00770B60">
              <w:t xml:space="preserve"> intégrant un module sur l’évaluation</w:t>
            </w:r>
          </w:p>
        </w:tc>
      </w:tr>
      <w:tr w:rsidR="007F0F8F" w14:paraId="1E9E3275" w14:textId="77777777" w:rsidTr="00B16DAC">
        <w:tc>
          <w:tcPr>
            <w:tcW w:w="7083" w:type="dxa"/>
          </w:tcPr>
          <w:p w14:paraId="256C86C0" w14:textId="2A7973A8" w:rsidR="007F0F8F" w:rsidRDefault="007F0F8F" w:rsidP="007F0F8F">
            <w:pPr>
              <w:jc w:val="both"/>
            </w:pPr>
            <w:r>
              <w:lastRenderedPageBreak/>
              <w:t xml:space="preserve">MCZ : Interroge la </w:t>
            </w:r>
            <w:r w:rsidRPr="00770B60">
              <w:rPr>
                <w:b/>
              </w:rPr>
              <w:t>confidentialité des données</w:t>
            </w:r>
            <w:r>
              <w:t xml:space="preserve"> liées aux ménages qui seront traitées dans le cadre de l’évaluation. </w:t>
            </w:r>
          </w:p>
        </w:tc>
        <w:tc>
          <w:tcPr>
            <w:tcW w:w="7229" w:type="dxa"/>
          </w:tcPr>
          <w:p w14:paraId="4F7A3709" w14:textId="1BA13F23" w:rsidR="007F0F8F" w:rsidRDefault="007F0F8F" w:rsidP="007F0F8F">
            <w:pPr>
              <w:jc w:val="both"/>
            </w:pPr>
            <w:r>
              <w:t xml:space="preserve">EL : Les données seront recueillies via </w:t>
            </w:r>
            <w:proofErr w:type="spellStart"/>
            <w:r>
              <w:t>Solidiag</w:t>
            </w:r>
            <w:proofErr w:type="spellEnd"/>
            <w:r>
              <w:t xml:space="preserve"> (qui respecte le Règlement général  sur la protection des données) et traitées de manière anonyme et sans accès à des données à caractère personnel.</w:t>
            </w:r>
          </w:p>
        </w:tc>
      </w:tr>
    </w:tbl>
    <w:p w14:paraId="30AB13DA" w14:textId="77777777" w:rsidR="00D72C3D" w:rsidRDefault="00D72C3D" w:rsidP="00D72C3D">
      <w:pPr>
        <w:jc w:val="both"/>
      </w:pPr>
    </w:p>
    <w:p w14:paraId="3A8CDEC1" w14:textId="3896F40B" w:rsidR="00F115A1" w:rsidRDefault="00F115A1" w:rsidP="00F115A1">
      <w:pPr>
        <w:pStyle w:val="Paragraphedeliste"/>
        <w:numPr>
          <w:ilvl w:val="0"/>
          <w:numId w:val="1"/>
        </w:numPr>
        <w:jc w:val="both"/>
      </w:pPr>
      <w:r w:rsidRPr="00B66FE5">
        <w:rPr>
          <w:b/>
          <w:u w:val="single"/>
        </w:rPr>
        <w:t>Discussion sur les indicateurs</w:t>
      </w:r>
      <w:r>
        <w:t> : (cf. diapo 12 à 18 du PPT)</w:t>
      </w:r>
    </w:p>
    <w:p w14:paraId="121D184D" w14:textId="4018F385" w:rsidR="00F115A1" w:rsidRDefault="009546DE" w:rsidP="00F115A1">
      <w:pPr>
        <w:jc w:val="both"/>
      </w:pPr>
      <w:r>
        <w:t>L’objectif de cette réunion est de recueillir vos remarques sur les éléments prioritaires à évaluer au regard des contraintes du travail d’évaluation :</w:t>
      </w:r>
    </w:p>
    <w:p w14:paraId="18430019" w14:textId="5B1FD415" w:rsidR="009546DE" w:rsidRDefault="009546DE" w:rsidP="009546DE">
      <w:pPr>
        <w:pStyle w:val="Paragraphedeliste"/>
        <w:numPr>
          <w:ilvl w:val="0"/>
          <w:numId w:val="3"/>
        </w:numPr>
        <w:jc w:val="both"/>
      </w:pPr>
      <w:r>
        <w:t>Quels sont les chiffres/indicateurs que vous souhaitez absolument voir dans l’étude ?</w:t>
      </w:r>
    </w:p>
    <w:p w14:paraId="6F181406" w14:textId="6F81A991" w:rsidR="009546DE" w:rsidRDefault="009546DE" w:rsidP="009546DE">
      <w:pPr>
        <w:pStyle w:val="Paragraphedeliste"/>
        <w:numPr>
          <w:ilvl w:val="0"/>
          <w:numId w:val="3"/>
        </w:numPr>
        <w:jc w:val="both"/>
      </w:pPr>
      <w:r>
        <w:t>Cette évaluation vous serait utile si elle démontre que…</w:t>
      </w:r>
    </w:p>
    <w:tbl>
      <w:tblPr>
        <w:tblStyle w:val="Grilledutableau"/>
        <w:tblW w:w="14312" w:type="dxa"/>
        <w:tblLook w:val="04A0" w:firstRow="1" w:lastRow="0" w:firstColumn="1" w:lastColumn="0" w:noHBand="0" w:noVBand="1"/>
      </w:tblPr>
      <w:tblGrid>
        <w:gridCol w:w="7083"/>
        <w:gridCol w:w="7229"/>
      </w:tblGrid>
      <w:tr w:rsidR="009546DE" w:rsidRPr="0080703E" w14:paraId="622A0396" w14:textId="77777777" w:rsidTr="003B477B">
        <w:trPr>
          <w:tblHeader/>
        </w:trPr>
        <w:tc>
          <w:tcPr>
            <w:tcW w:w="7083" w:type="dxa"/>
            <w:shd w:val="clear" w:color="auto" w:fill="D9D9D9" w:themeFill="background1" w:themeFillShade="D9"/>
          </w:tcPr>
          <w:p w14:paraId="3AFAAA95" w14:textId="77777777" w:rsidR="009546DE" w:rsidRPr="0080703E" w:rsidRDefault="009546DE" w:rsidP="003B477B">
            <w:pPr>
              <w:jc w:val="center"/>
              <w:rPr>
                <w:b/>
              </w:rPr>
            </w:pPr>
            <w:r w:rsidRPr="0080703E">
              <w:rPr>
                <w:b/>
              </w:rPr>
              <w:t>Questions et remarques des participants</w:t>
            </w:r>
          </w:p>
        </w:tc>
        <w:tc>
          <w:tcPr>
            <w:tcW w:w="7229" w:type="dxa"/>
            <w:shd w:val="clear" w:color="auto" w:fill="D9D9D9" w:themeFill="background1" w:themeFillShade="D9"/>
          </w:tcPr>
          <w:p w14:paraId="3D6EE3E8" w14:textId="77777777" w:rsidR="009546DE" w:rsidRPr="0080703E" w:rsidRDefault="009546DE" w:rsidP="003B477B">
            <w:pPr>
              <w:jc w:val="center"/>
              <w:rPr>
                <w:b/>
              </w:rPr>
            </w:pPr>
            <w:r w:rsidRPr="0080703E">
              <w:rPr>
                <w:b/>
              </w:rPr>
              <w:t>Réponses apportées</w:t>
            </w:r>
          </w:p>
        </w:tc>
      </w:tr>
      <w:tr w:rsidR="009546DE" w14:paraId="6C2386C2" w14:textId="77777777" w:rsidTr="003B477B">
        <w:tc>
          <w:tcPr>
            <w:tcW w:w="7083" w:type="dxa"/>
          </w:tcPr>
          <w:p w14:paraId="5D49CAB0" w14:textId="5AA6FF80" w:rsidR="009546DE" w:rsidRPr="009546DE" w:rsidRDefault="009546DE" w:rsidP="003B477B">
            <w:pPr>
              <w:spacing w:after="160" w:line="259" w:lineRule="auto"/>
              <w:jc w:val="both"/>
            </w:pPr>
            <w:r>
              <w:t xml:space="preserve">MCZ : Qu’entend-on par ménage ? La personne qui a reçu le diagnostiqueur ? La famille rassemblée ? </w:t>
            </w:r>
            <w:r w:rsidRPr="0077157E">
              <w:rPr>
                <w:b/>
              </w:rPr>
              <w:t>A qui va s’adresser l’enquêteur ?</w:t>
            </w:r>
            <w:r>
              <w:t xml:space="preserve"> La personne qui reçoit le diagnostiqueur comprend un certain nombre de choses et doit ensuite le transmettre au collectif habitant. La manière dont est réalisé le diagnostic a également un effet.</w:t>
            </w:r>
          </w:p>
          <w:p w14:paraId="34265ADC" w14:textId="77777777" w:rsidR="009546DE" w:rsidRDefault="009546DE" w:rsidP="009546DE">
            <w:pPr>
              <w:jc w:val="both"/>
            </w:pPr>
          </w:p>
        </w:tc>
        <w:tc>
          <w:tcPr>
            <w:tcW w:w="7229" w:type="dxa"/>
          </w:tcPr>
          <w:p w14:paraId="2DC01FE8" w14:textId="2E06FDF7" w:rsidR="009546DE" w:rsidRDefault="009546DE" w:rsidP="003B477B">
            <w:pPr>
              <w:jc w:val="both"/>
            </w:pPr>
            <w:r>
              <w:t>EL : L’enquêteur contactera la personne qui a reçu le diagnostiqueur.</w:t>
            </w:r>
          </w:p>
          <w:p w14:paraId="3E94C3AD" w14:textId="7E2D6FB1" w:rsidR="009546DE" w:rsidRDefault="009546DE" w:rsidP="007F0F8F">
            <w:pPr>
              <w:jc w:val="both"/>
            </w:pPr>
            <w:r>
              <w:t>Nous avons en effet constaté lors de précédentes études</w:t>
            </w:r>
            <w:r w:rsidR="00E314FA">
              <w:t xml:space="preserve"> que la structure familiale était déterminante.</w:t>
            </w:r>
          </w:p>
        </w:tc>
      </w:tr>
      <w:tr w:rsidR="00E314FA" w14:paraId="02125B89" w14:textId="77777777" w:rsidTr="003B477B">
        <w:tc>
          <w:tcPr>
            <w:tcW w:w="7083" w:type="dxa"/>
          </w:tcPr>
          <w:p w14:paraId="058980B1" w14:textId="77777777" w:rsidR="00E314FA" w:rsidRDefault="00E314FA" w:rsidP="003B477B">
            <w:pPr>
              <w:jc w:val="both"/>
            </w:pPr>
            <w:r>
              <w:t xml:space="preserve">ML : Est-il prévu de </w:t>
            </w:r>
            <w:r w:rsidRPr="0077157E">
              <w:rPr>
                <w:b/>
              </w:rPr>
              <w:t>recueillir les factures d’énergie des ménages ?</w:t>
            </w:r>
          </w:p>
          <w:p w14:paraId="05962DEB" w14:textId="4BED1DF6" w:rsidR="004E1A34" w:rsidRDefault="004E1A34" w:rsidP="003B477B">
            <w:pPr>
              <w:jc w:val="both"/>
            </w:pPr>
            <w:r>
              <w:t>J’entends les difficultés à collecter ces données mais les données objectives sur les économies d’énergie générées sont assez fondamentales. Ce travail pourrait être réalisé en indiquant les limites et les précautions d’</w:t>
            </w:r>
            <w:r w:rsidR="000C5595">
              <w:t>interprétation des résultats, voir réaliser ce travail quantitatif sur un échantillon limité.</w:t>
            </w:r>
          </w:p>
          <w:p w14:paraId="6D6C3ED3" w14:textId="77777777" w:rsidR="000C5595" w:rsidRDefault="000C5595" w:rsidP="003B477B">
            <w:pPr>
              <w:jc w:val="both"/>
            </w:pPr>
          </w:p>
          <w:p w14:paraId="617E9CD5" w14:textId="03D2F8CE" w:rsidR="000C5595" w:rsidRDefault="000C5595" w:rsidP="003B477B">
            <w:pPr>
              <w:jc w:val="both"/>
            </w:pPr>
            <w:r>
              <w:t>SC : Nous sommes parvenus à réaliser une évaluation quantitative (suivi des factures d’énergie) un an après les visites via un partenariat avec les fournisseurs d’énergie</w:t>
            </w:r>
            <w:r w:rsidR="009776A5">
              <w:t xml:space="preserve"> (EDF et </w:t>
            </w:r>
            <w:r w:rsidR="009776A5" w:rsidRPr="009776A5">
              <w:t>Gaz Electricité de Grenoble</w:t>
            </w:r>
            <w:r w:rsidR="009776A5">
              <w:t>)</w:t>
            </w:r>
            <w:r>
              <w:t>. Concernant l’évaluation des éco</w:t>
            </w:r>
            <w:r w:rsidR="009776A5">
              <w:t>-</w:t>
            </w:r>
            <w:r>
              <w:t>gestes, des travaux, cela semble plus complexe à évaluer sans visite à domicile.</w:t>
            </w:r>
          </w:p>
          <w:p w14:paraId="51537EA1" w14:textId="77777777" w:rsidR="00666AA1" w:rsidRDefault="00666AA1" w:rsidP="003B477B">
            <w:pPr>
              <w:jc w:val="both"/>
            </w:pPr>
          </w:p>
          <w:p w14:paraId="49CAB936" w14:textId="02D3113D" w:rsidR="0077157E" w:rsidRDefault="0077157E" w:rsidP="003B477B">
            <w:pPr>
              <w:jc w:val="both"/>
            </w:pPr>
            <w:r>
              <w:t>CT : Précise qu’entre la dématérialisation des factures et les changements de fournisseurs, il est très complexe de réaliser un suivi des consommations.</w:t>
            </w:r>
          </w:p>
          <w:p w14:paraId="7648FB0B" w14:textId="77777777" w:rsidR="0077157E" w:rsidRDefault="0077157E" w:rsidP="003B477B">
            <w:pPr>
              <w:jc w:val="both"/>
            </w:pPr>
          </w:p>
          <w:p w14:paraId="5260C836" w14:textId="77777777" w:rsidR="00666AA1" w:rsidRDefault="00666AA1" w:rsidP="00666AA1">
            <w:pPr>
              <w:jc w:val="both"/>
            </w:pPr>
            <w:r>
              <w:t>MCZ : Souligne que la transmission des données de la part des fournisseurs est fondamentale pour pouvoir repérer les ménages comme pour évaluer les consommations. Cette évaluation devrait montrer la nécessité de faire bouger les partenaires en amont et en aval sur cette problématique de remontée des données.</w:t>
            </w:r>
          </w:p>
          <w:p w14:paraId="65EDAF7C" w14:textId="77777777" w:rsidR="00666AA1" w:rsidRDefault="00666AA1" w:rsidP="00666AA1">
            <w:pPr>
              <w:jc w:val="both"/>
            </w:pPr>
          </w:p>
          <w:p w14:paraId="5989CAA2" w14:textId="74B16FF5" w:rsidR="009776A5" w:rsidRDefault="009776A5" w:rsidP="00666AA1">
            <w:pPr>
              <w:jc w:val="both"/>
            </w:pPr>
            <w:r>
              <w:t xml:space="preserve">Christine Brusque, CD du Gard (CB) : évoque </w:t>
            </w:r>
            <w:r w:rsidRPr="009776A5">
              <w:t>le partenariat avec la mission solidarité EDF</w:t>
            </w:r>
            <w:r>
              <w:t xml:space="preserve"> (principal fournisseur sur le territoire) qui</w:t>
            </w:r>
            <w:r w:rsidRPr="009776A5">
              <w:t xml:space="preserve"> a permis d'évaluer l'impact sur les consommations avant et après le SLIME</w:t>
            </w:r>
            <w:r>
              <w:t>.</w:t>
            </w:r>
          </w:p>
          <w:p w14:paraId="56210B54" w14:textId="77777777" w:rsidR="009776A5" w:rsidRDefault="009776A5" w:rsidP="00666AA1">
            <w:pPr>
              <w:jc w:val="both"/>
            </w:pPr>
          </w:p>
          <w:p w14:paraId="1E1E99BF" w14:textId="68C68A0F" w:rsidR="00666AA1" w:rsidRDefault="00666AA1" w:rsidP="00666AA1">
            <w:pPr>
              <w:jc w:val="both"/>
            </w:pPr>
            <w:r>
              <w:t xml:space="preserve">PG : Rappelle que l’évaluation de l’efficacité en termes de résorption de la précarité énergétique dépasse le cadre du SLIME. Il n’y a pas d’obligation de résultats sur l’orientation pour le moment. Il serait d’ailleurs pertinent </w:t>
            </w:r>
            <w:r w:rsidRPr="0077157E">
              <w:t>d’</w:t>
            </w:r>
            <w:r w:rsidRPr="0077157E">
              <w:rPr>
                <w:b/>
              </w:rPr>
              <w:t>évaluer l’efficacité de l’orientation</w:t>
            </w:r>
            <w:r>
              <w:t>. Cela semble réalisable sur le nombre de dossiers déposés à l’ANAH mais est plus complexe pour d’autres types d’orientations</w:t>
            </w:r>
            <w:r w:rsidR="00B66FE5">
              <w:t>. Il serait également intéressant de questionner les raisons pour lesquelles l’orientation n’est pas suivie d’effets.</w:t>
            </w:r>
          </w:p>
        </w:tc>
        <w:tc>
          <w:tcPr>
            <w:tcW w:w="7229" w:type="dxa"/>
          </w:tcPr>
          <w:p w14:paraId="1865AC52" w14:textId="77777777" w:rsidR="00E314FA" w:rsidRDefault="00E314FA" w:rsidP="003B477B">
            <w:pPr>
              <w:jc w:val="both"/>
            </w:pPr>
            <w:r>
              <w:lastRenderedPageBreak/>
              <w:t>EL : La passation d’enquête par téléphone rend complexe les questions portant sur les revenus et les factures, les données recueillies restent partielles et difficiles à interpréter.</w:t>
            </w:r>
          </w:p>
          <w:p w14:paraId="62A34E71" w14:textId="77777777" w:rsidR="000C5595" w:rsidRDefault="000C5595" w:rsidP="003B477B">
            <w:pPr>
              <w:jc w:val="both"/>
            </w:pPr>
          </w:p>
          <w:p w14:paraId="2E052A5B" w14:textId="22C05A9D" w:rsidR="000C5595" w:rsidRDefault="000C5595" w:rsidP="003B477B">
            <w:pPr>
              <w:jc w:val="both"/>
            </w:pPr>
            <w:r>
              <w:lastRenderedPageBreak/>
              <w:t xml:space="preserve">Aurélien Breuil, Solibri (AB) : Souligne, au regard de la revue de l’existant en cours, que </w:t>
            </w:r>
            <w:r w:rsidR="00F000AF">
              <w:t>seules les collectivités réalisant une seconde visite à domicile parviennent à collecter des données sur l’évolution des consommations.</w:t>
            </w:r>
          </w:p>
          <w:p w14:paraId="0B33514B" w14:textId="6E767B30" w:rsidR="00666AA1" w:rsidRDefault="00666AA1" w:rsidP="003B477B">
            <w:pPr>
              <w:jc w:val="both"/>
            </w:pPr>
            <w:r>
              <w:t>Concernant les partenariats avec les fournisseurs, le SLIME de la Réunion et celui de Gironde y sont parvenus.</w:t>
            </w:r>
          </w:p>
          <w:p w14:paraId="0F9086E8" w14:textId="77777777" w:rsidR="000C5595" w:rsidRDefault="000C5595" w:rsidP="003B477B">
            <w:pPr>
              <w:jc w:val="both"/>
            </w:pPr>
          </w:p>
          <w:p w14:paraId="65BD0557" w14:textId="146FC409" w:rsidR="000C5595" w:rsidRDefault="000C5595" w:rsidP="003B477B">
            <w:pPr>
              <w:jc w:val="both"/>
            </w:pPr>
            <w:r>
              <w:t>BZ : Rappelle que le premier objectif du SLIME est de repérer les ménages, ce sont ensuite les dispositifs existants qui viennent résorber la précarité énergétique, le SLIME contribue</w:t>
            </w:r>
            <w:r w:rsidR="001B2769">
              <w:t>, aux côtés d’autres dispositifs,</w:t>
            </w:r>
            <w:r>
              <w:t xml:space="preserve"> à lutter contre la précarité énergétique.</w:t>
            </w:r>
          </w:p>
          <w:p w14:paraId="16FCFA13" w14:textId="141D3BE9" w:rsidR="000C5595" w:rsidRDefault="000C5595" w:rsidP="003B477B">
            <w:pPr>
              <w:jc w:val="both"/>
            </w:pPr>
            <w:r>
              <w:t>Concernant les économies générées, l’étude réalisée à l’été 2018 pour la DGEC a montré qu’il était possible d’évaluer les économies via l’installation d’équipements économes et la mise en place d’éco-gestes. Il est possible d’évaluer les économies indirectes générées par les dispositifs vers lesquels sont orientés les ménages.</w:t>
            </w:r>
          </w:p>
        </w:tc>
      </w:tr>
      <w:tr w:rsidR="004E1A34" w14:paraId="538B418A" w14:textId="77777777" w:rsidTr="003B477B">
        <w:tc>
          <w:tcPr>
            <w:tcW w:w="7083" w:type="dxa"/>
          </w:tcPr>
          <w:p w14:paraId="2BBF6D81" w14:textId="77777777" w:rsidR="004E1A34" w:rsidRDefault="004E1A34" w:rsidP="003B477B">
            <w:pPr>
              <w:jc w:val="both"/>
            </w:pPr>
            <w:proofErr w:type="spellStart"/>
            <w:r>
              <w:lastRenderedPageBreak/>
              <w:t>Eric</w:t>
            </w:r>
            <w:proofErr w:type="spellEnd"/>
            <w:r>
              <w:t xml:space="preserve"> </w:t>
            </w:r>
            <w:proofErr w:type="spellStart"/>
            <w:r>
              <w:t>Lagandre</w:t>
            </w:r>
            <w:proofErr w:type="spellEnd"/>
            <w:r>
              <w:t>, ANAH (</w:t>
            </w:r>
            <w:proofErr w:type="spellStart"/>
            <w:r>
              <w:t>ErL</w:t>
            </w:r>
            <w:proofErr w:type="spellEnd"/>
            <w:r>
              <w:t xml:space="preserve">) : Est intéressé pour que soient </w:t>
            </w:r>
            <w:r w:rsidRPr="0077157E">
              <w:rPr>
                <w:b/>
              </w:rPr>
              <w:t>repérées et qualifiées les situations « d’impasse »</w:t>
            </w:r>
            <w:r>
              <w:t xml:space="preserve"> où l’on ne trouve pas de solutions pour améliorer la performance thermique du logement, dans le parc privé notamment.</w:t>
            </w:r>
          </w:p>
          <w:p w14:paraId="310683A9" w14:textId="77777777" w:rsidR="0077157E" w:rsidRDefault="0077157E" w:rsidP="003B477B">
            <w:pPr>
              <w:jc w:val="both"/>
            </w:pPr>
          </w:p>
          <w:p w14:paraId="494A7DD9" w14:textId="4368F7C2" w:rsidR="0077157E" w:rsidRDefault="0077157E" w:rsidP="003B477B">
            <w:pPr>
              <w:jc w:val="both"/>
            </w:pPr>
            <w:r>
              <w:lastRenderedPageBreak/>
              <w:t>C</w:t>
            </w:r>
            <w:r w:rsidR="00C513E8">
              <w:t>B</w:t>
            </w:r>
            <w:r>
              <w:t> : Trouverait utile que l</w:t>
            </w:r>
            <w:r w:rsidRPr="0077157E">
              <w:t xml:space="preserve">'évaluation </w:t>
            </w:r>
            <w:r>
              <w:t>puisse mesurer</w:t>
            </w:r>
            <w:r w:rsidRPr="0077157E">
              <w:t xml:space="preserve"> l'impact du SLIME sur la mobilisation des propriétaires bailleurs et des propriétaires occupants</w:t>
            </w:r>
            <w:r>
              <w:t>.</w:t>
            </w:r>
          </w:p>
          <w:p w14:paraId="66C509AB" w14:textId="77777777" w:rsidR="0077157E" w:rsidRDefault="0077157E" w:rsidP="003B477B">
            <w:pPr>
              <w:jc w:val="both"/>
            </w:pPr>
          </w:p>
          <w:p w14:paraId="69D8C5AD" w14:textId="4314100E" w:rsidR="004E1A34" w:rsidRDefault="004E1A34" w:rsidP="003B477B">
            <w:pPr>
              <w:jc w:val="both"/>
            </w:pPr>
            <w:r>
              <w:t>PG : Mentionne une évaluation produite qui s’est intéressée au nombre de propriétaires bailleurs ayant réalisé des travaux après le 2</w:t>
            </w:r>
            <w:r w:rsidRPr="004E1A34">
              <w:rPr>
                <w:vertAlign w:val="superscript"/>
              </w:rPr>
              <w:t>e</w:t>
            </w:r>
            <w:r>
              <w:t xml:space="preserve"> hiver suivant la visite. Ces données sont très complexes à obtenir : cela implique que la personne soit restée dans le même logement, connaître ce qui a été entrepris comme travaux et avoir un contact avec le bailleur : sur 70 dossiers traités, seulement 2 propriétaires bailleurs nous ont sollicités pour avoir le rapport de diagnostic. Il faudrait démontrer que le SLIME n’est pas suffisant pour améliorer les situations de précarité énergétique et qu’il est absolument nécessaire d’associer les propriétaires bailleurs.</w:t>
            </w:r>
          </w:p>
          <w:p w14:paraId="2EC87384" w14:textId="4E3A403E" w:rsidR="004E1A34" w:rsidRDefault="004E1A34" w:rsidP="003B477B">
            <w:pPr>
              <w:jc w:val="both"/>
            </w:pPr>
          </w:p>
        </w:tc>
        <w:tc>
          <w:tcPr>
            <w:tcW w:w="7229" w:type="dxa"/>
          </w:tcPr>
          <w:p w14:paraId="5B046B0A" w14:textId="77777777" w:rsidR="004E1A34" w:rsidRDefault="004E1A34" w:rsidP="003B477B">
            <w:pPr>
              <w:jc w:val="both"/>
            </w:pPr>
          </w:p>
        </w:tc>
      </w:tr>
      <w:tr w:rsidR="0077157E" w14:paraId="4CD5FE56" w14:textId="77777777" w:rsidTr="003B477B">
        <w:tc>
          <w:tcPr>
            <w:tcW w:w="7083" w:type="dxa"/>
          </w:tcPr>
          <w:p w14:paraId="53AEACC1" w14:textId="79499A75" w:rsidR="0077157E" w:rsidRDefault="0077157E" w:rsidP="003B477B">
            <w:pPr>
              <w:jc w:val="both"/>
            </w:pPr>
            <w:r>
              <w:t>C</w:t>
            </w:r>
            <w:r w:rsidR="009776A5">
              <w:t>B</w:t>
            </w:r>
            <w:r>
              <w:t xml:space="preserve"> : Propose différents indicateurs sur le premier niveau de l’étude : </w:t>
            </w:r>
            <w:r w:rsidRPr="0077157E">
              <w:t>le degré de satisfaction des ménages en terme de c</w:t>
            </w:r>
            <w:r>
              <w:t>onfort, d'appropriation des éco-</w:t>
            </w:r>
            <w:r w:rsidRPr="0077157E">
              <w:t xml:space="preserve">gestes, </w:t>
            </w:r>
            <w:r>
              <w:t xml:space="preserve">la </w:t>
            </w:r>
            <w:r w:rsidRPr="0077157E">
              <w:t>maitrise des consommations, le degré de connaissance des équipements (radiateurs, les outils de suivi des conso</w:t>
            </w:r>
            <w:r>
              <w:t>mmations</w:t>
            </w:r>
            <w:r w:rsidRPr="0077157E">
              <w:t xml:space="preserve"> proposé</w:t>
            </w:r>
            <w:r>
              <w:t>s</w:t>
            </w:r>
            <w:r w:rsidRPr="0077157E">
              <w:t xml:space="preserve"> par les fournisseurs d'énergie…)</w:t>
            </w:r>
            <w:r>
              <w:t>, la</w:t>
            </w:r>
            <w:r w:rsidRPr="0077157E">
              <w:t xml:space="preserve"> connaissance des dispositifs de soutien</w:t>
            </w:r>
            <w:r>
              <w:t>.</w:t>
            </w:r>
          </w:p>
          <w:p w14:paraId="6F264805" w14:textId="77777777" w:rsidR="0077157E" w:rsidRDefault="0077157E" w:rsidP="003B477B">
            <w:pPr>
              <w:jc w:val="both"/>
            </w:pPr>
          </w:p>
          <w:p w14:paraId="6009C2A6" w14:textId="1A441C43" w:rsidR="0077157E" w:rsidRDefault="0077157E" w:rsidP="0077157E">
            <w:pPr>
              <w:jc w:val="both"/>
            </w:pPr>
            <w:r>
              <w:t xml:space="preserve">CT : ajoute qu’il serait pertinent de </w:t>
            </w:r>
            <w:r w:rsidRPr="0077157E">
              <w:t>reprendre les différents points vu</w:t>
            </w:r>
            <w:r w:rsidR="009776A5">
              <w:t>s</w:t>
            </w:r>
            <w:r w:rsidRPr="0077157E">
              <w:t xml:space="preserve"> lors des diagn</w:t>
            </w:r>
            <w:r w:rsidR="009776A5">
              <w:t xml:space="preserve">ostics : amélioration du bâti, </w:t>
            </w:r>
            <w:r w:rsidRPr="0077157E">
              <w:t>diminution des consommations d'énergie (factures ou montant du prélèvement mensuel ?)</w:t>
            </w:r>
            <w:r w:rsidR="009776A5">
              <w:t>,</w:t>
            </w:r>
            <w:r w:rsidRPr="0077157E">
              <w:t xml:space="preserve"> changement d'usages (appropriatio</w:t>
            </w:r>
            <w:r w:rsidR="009776A5">
              <w:t xml:space="preserve">n des gestes économes : combien </w:t>
            </w:r>
            <w:r w:rsidRPr="0077157E">
              <w:t>?)</w:t>
            </w:r>
            <w:r w:rsidR="009776A5">
              <w:t xml:space="preserve">, </w:t>
            </w:r>
            <w:r w:rsidRPr="0077157E">
              <w:t>remplacement des équipements (petits et gros équipements électroménagers classe A++)</w:t>
            </w:r>
            <w:r w:rsidR="009776A5">
              <w:t>.</w:t>
            </w:r>
          </w:p>
          <w:p w14:paraId="41FCFEB9" w14:textId="77777777" w:rsidR="009776A5" w:rsidRDefault="009776A5" w:rsidP="0077157E">
            <w:pPr>
              <w:jc w:val="both"/>
            </w:pPr>
          </w:p>
          <w:p w14:paraId="59387A64" w14:textId="7F4C6A43" w:rsidR="009776A5" w:rsidRPr="009776A5" w:rsidRDefault="009776A5" w:rsidP="009776A5">
            <w:pPr>
              <w:jc w:val="both"/>
            </w:pPr>
            <w:r>
              <w:t>CB :</w:t>
            </w:r>
            <w:r w:rsidRPr="009776A5">
              <w:rPr>
                <w:rFonts w:eastAsiaTheme="minorEastAsia" w:hAnsi="Calibri"/>
                <w:color w:val="000000" w:themeColor="text1"/>
                <w:kern w:val="24"/>
                <w:sz w:val="24"/>
                <w:szCs w:val="24"/>
                <w:lang w:eastAsia="fr-FR"/>
              </w:rPr>
              <w:t xml:space="preserve"> </w:t>
            </w:r>
            <w:r>
              <w:rPr>
                <w:rFonts w:eastAsiaTheme="minorEastAsia" w:hAnsi="Calibri"/>
                <w:color w:val="000000" w:themeColor="text1"/>
                <w:kern w:val="24"/>
                <w:sz w:val="24"/>
                <w:szCs w:val="24"/>
                <w:lang w:eastAsia="fr-FR"/>
              </w:rPr>
              <w:t>R</w:t>
            </w:r>
            <w:r>
              <w:t xml:space="preserve">emarque que </w:t>
            </w:r>
            <w:r w:rsidRPr="009776A5">
              <w:t xml:space="preserve">réduire sa consommation énergétique ne veut pas nécessairement dire que le ménage va réduire le montant de ses factures. Au-delà de ce critère, il y a aussi la notion de confort : ex: l'amélioration de la qualité de l'air grâce à la réduction de l'humidité, avec une meilleure utilisation </w:t>
            </w:r>
            <w:r>
              <w:t>du chauffage, des ventilations, etc.</w:t>
            </w:r>
          </w:p>
          <w:p w14:paraId="21C4C485" w14:textId="14B6D265" w:rsidR="009776A5" w:rsidRDefault="009776A5" w:rsidP="0077157E">
            <w:pPr>
              <w:jc w:val="both"/>
            </w:pPr>
          </w:p>
          <w:p w14:paraId="646E749C" w14:textId="2E4F7AC0" w:rsidR="009776A5" w:rsidRPr="009776A5" w:rsidRDefault="009776A5" w:rsidP="009776A5">
            <w:pPr>
              <w:jc w:val="both"/>
            </w:pPr>
            <w:r>
              <w:lastRenderedPageBreak/>
              <w:t>SC : Rejoint cette remarque et précise que la p</w:t>
            </w:r>
            <w:r w:rsidRPr="009776A5">
              <w:t>récarité énergétique intègre bien en effet plusieurs notions (confort, économies d'énergie, etc.), qui sont à interroger puis à analyser en regard avec la situation initiale du ménage</w:t>
            </w:r>
            <w:r>
              <w:t>.</w:t>
            </w:r>
            <w:r w:rsidRPr="009776A5">
              <w:t xml:space="preserve"> </w:t>
            </w:r>
          </w:p>
          <w:p w14:paraId="04DFE900" w14:textId="3112B3EF" w:rsidR="0077157E" w:rsidRDefault="0077157E" w:rsidP="003B477B">
            <w:pPr>
              <w:jc w:val="both"/>
            </w:pPr>
          </w:p>
        </w:tc>
        <w:tc>
          <w:tcPr>
            <w:tcW w:w="7229" w:type="dxa"/>
          </w:tcPr>
          <w:p w14:paraId="1CFA63DE" w14:textId="77777777" w:rsidR="0077157E" w:rsidRDefault="0077157E" w:rsidP="003B477B">
            <w:pPr>
              <w:jc w:val="both"/>
            </w:pPr>
          </w:p>
        </w:tc>
      </w:tr>
    </w:tbl>
    <w:p w14:paraId="58B44E93" w14:textId="77777777" w:rsidR="00F115A1" w:rsidRDefault="00F115A1" w:rsidP="00F115A1">
      <w:pPr>
        <w:jc w:val="both"/>
      </w:pPr>
    </w:p>
    <w:p w14:paraId="624019F1" w14:textId="3036AE00" w:rsidR="00F000AF" w:rsidRDefault="00F000AF" w:rsidP="00F000AF">
      <w:pPr>
        <w:pStyle w:val="Paragraphedeliste"/>
        <w:numPr>
          <w:ilvl w:val="0"/>
          <w:numId w:val="1"/>
        </w:numPr>
        <w:jc w:val="both"/>
      </w:pPr>
      <w:r w:rsidRPr="00F000AF">
        <w:rPr>
          <w:b/>
          <w:u w:val="single"/>
        </w:rPr>
        <w:t>Discussion sur l’implication des collectivités dans la démarche d’évaluation :</w:t>
      </w:r>
      <w:r>
        <w:t xml:space="preserve"> (cf. diapo 20 du PPT)</w:t>
      </w:r>
    </w:p>
    <w:p w14:paraId="3CBDFFCE" w14:textId="40C3DDD8" w:rsidR="00F000AF" w:rsidRDefault="00F000AF" w:rsidP="00F000AF">
      <w:pPr>
        <w:jc w:val="both"/>
      </w:pPr>
      <w:r>
        <w:t xml:space="preserve">Les collectivités présentes ont besoin de connaître </w:t>
      </w:r>
      <w:r w:rsidR="00CE56F6">
        <w:t>l’échantillonnage, le nombre de ménages à rappeler, la durée du questionnaire pour se prononcer sur la mobilisation des moyens humains.</w:t>
      </w:r>
    </w:p>
    <w:p w14:paraId="7C530041" w14:textId="5A213334" w:rsidR="009776A5" w:rsidRPr="009776A5" w:rsidRDefault="009776A5" w:rsidP="009776A5">
      <w:pPr>
        <w:jc w:val="both"/>
      </w:pPr>
      <w:r>
        <w:t xml:space="preserve">Christine Brusque, CD Gard souligne que pour leur part </w:t>
      </w:r>
      <w:r w:rsidRPr="009776A5">
        <w:t>une éval</w:t>
      </w:r>
      <w:r>
        <w:t>uation</w:t>
      </w:r>
      <w:r w:rsidRPr="009776A5">
        <w:t xml:space="preserve"> a été </w:t>
      </w:r>
      <w:r>
        <w:t>réalisée</w:t>
      </w:r>
      <w:r w:rsidRPr="009776A5">
        <w:t xml:space="preserve"> sur l'année 2018 à partir d'une grille d'entretien qualitative qui permet aux associations partenaires et </w:t>
      </w:r>
      <w:r>
        <w:t>aux</w:t>
      </w:r>
      <w:r w:rsidRPr="009776A5">
        <w:t xml:space="preserve"> lanceurs d'alerte d'évaluer l'impact du SLIME. Dans l'hypothèse où les entretiens seraient effectués par </w:t>
      </w:r>
      <w:r>
        <w:t xml:space="preserve">le groupement </w:t>
      </w:r>
      <w:proofErr w:type="spellStart"/>
      <w:r>
        <w:t>Kimso</w:t>
      </w:r>
      <w:proofErr w:type="spellEnd"/>
      <w:r>
        <w:t>/Solibri</w:t>
      </w:r>
      <w:r w:rsidRPr="009776A5">
        <w:t xml:space="preserve">, les associations pourraient faire ces entretiens complémentaires. Il faudra évaluer la charge de travail car la collectivité n'aura pas </w:t>
      </w:r>
      <w:r>
        <w:t>l</w:t>
      </w:r>
      <w:r w:rsidRPr="009776A5">
        <w:t>e</w:t>
      </w:r>
      <w:r>
        <w:t>s</w:t>
      </w:r>
      <w:r w:rsidRPr="009776A5">
        <w:t xml:space="preserve"> moyens financiers supplémentaires. Un interlocuteur peut être nommé au sein du CD30.</w:t>
      </w:r>
    </w:p>
    <w:p w14:paraId="3A24EFF1" w14:textId="03A64E75" w:rsidR="009776A5" w:rsidRDefault="009776A5" w:rsidP="00F000AF">
      <w:pPr>
        <w:jc w:val="both"/>
      </w:pPr>
    </w:p>
    <w:p w14:paraId="35228FC5" w14:textId="6D0E2015" w:rsidR="00CE56F6" w:rsidRDefault="00CE56F6" w:rsidP="00F000AF">
      <w:pPr>
        <w:jc w:val="both"/>
      </w:pPr>
      <w:r>
        <w:t>Ces éléments leur seront transmis par le groupement au plus vite.</w:t>
      </w:r>
    </w:p>
    <w:p w14:paraId="51F1B6C5" w14:textId="77777777" w:rsidR="00CE56F6" w:rsidRDefault="00CE56F6" w:rsidP="00F000AF">
      <w:pPr>
        <w:jc w:val="both"/>
      </w:pPr>
      <w:bookmarkStart w:id="0" w:name="_GoBack"/>
      <w:bookmarkEnd w:id="0"/>
    </w:p>
    <w:p w14:paraId="35D6F94A" w14:textId="77777777" w:rsidR="002B6DBB" w:rsidRDefault="002B6DBB" w:rsidP="00F000AF">
      <w:pPr>
        <w:jc w:val="both"/>
      </w:pPr>
    </w:p>
    <w:p w14:paraId="40FD8832" w14:textId="0E0F8EFB" w:rsidR="00CE56F6" w:rsidRDefault="00CE56F6" w:rsidP="00F000AF">
      <w:pPr>
        <w:pBdr>
          <w:bottom w:val="single" w:sz="6" w:space="1" w:color="auto"/>
        </w:pBdr>
        <w:jc w:val="both"/>
      </w:pPr>
    </w:p>
    <w:p w14:paraId="444B1113" w14:textId="05ECE8C3" w:rsidR="002933A9" w:rsidRDefault="002933A9" w:rsidP="00F000AF">
      <w:pPr>
        <w:jc w:val="both"/>
      </w:pPr>
      <w:r>
        <w:rPr>
          <w:noProof/>
          <w:lang w:eastAsia="fr-FR"/>
        </w:rPr>
        <w:drawing>
          <wp:anchor distT="0" distB="0" distL="114300" distR="114300" simplePos="0" relativeHeight="251659264" behindDoc="1" locked="0" layoutInCell="1" allowOverlap="1" wp14:anchorId="08E19D72" wp14:editId="40EC8306">
            <wp:simplePos x="0" y="0"/>
            <wp:positionH relativeFrom="column">
              <wp:posOffset>2361565</wp:posOffset>
            </wp:positionH>
            <wp:positionV relativeFrom="paragraph">
              <wp:posOffset>91440</wp:posOffset>
            </wp:positionV>
            <wp:extent cx="1344295" cy="441960"/>
            <wp:effectExtent l="0" t="0" r="8255" b="0"/>
            <wp:wrapTight wrapText="bothSides">
              <wp:wrapPolygon edited="0">
                <wp:start x="0" y="0"/>
                <wp:lineTo x="0" y="20483"/>
                <wp:lineTo x="21427" y="20483"/>
                <wp:lineTo x="2142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R.jpg"/>
                    <pic:cNvPicPr/>
                  </pic:nvPicPr>
                  <pic:blipFill>
                    <a:blip r:embed="rId9">
                      <a:extLst>
                        <a:ext uri="{28A0092B-C50C-407E-A947-70E740481C1C}">
                          <a14:useLocalDpi xmlns:a14="http://schemas.microsoft.com/office/drawing/2010/main" val="0"/>
                        </a:ext>
                      </a:extLst>
                    </a:blip>
                    <a:stretch>
                      <a:fillRect/>
                    </a:stretch>
                  </pic:blipFill>
                  <pic:spPr>
                    <a:xfrm>
                      <a:off x="0" y="0"/>
                      <a:ext cx="1344295" cy="441960"/>
                    </a:xfrm>
                    <a:prstGeom prst="rect">
                      <a:avLst/>
                    </a:prstGeom>
                  </pic:spPr>
                </pic:pic>
              </a:graphicData>
            </a:graphic>
            <wp14:sizeRelH relativeFrom="margin">
              <wp14:pctWidth>0</wp14:pctWidth>
            </wp14:sizeRelH>
            <wp14:sizeRelV relativeFrom="margin">
              <wp14:pctHeight>0</wp14:pctHeight>
            </wp14:sizeRelV>
          </wp:anchor>
        </w:drawing>
      </w:r>
    </w:p>
    <w:p w14:paraId="670841D6" w14:textId="218FCAE4" w:rsidR="00F000AF" w:rsidRDefault="002933A9" w:rsidP="00F000AF">
      <w:pPr>
        <w:jc w:val="both"/>
        <w:rPr>
          <w:i/>
        </w:rPr>
      </w:pPr>
      <w:r>
        <w:rPr>
          <w:i/>
        </w:rPr>
        <w:t>M</w:t>
      </w:r>
      <w:r w:rsidRPr="002933A9">
        <w:rPr>
          <w:i/>
        </w:rPr>
        <w:t>ission d’</w:t>
      </w:r>
      <w:r>
        <w:rPr>
          <w:i/>
        </w:rPr>
        <w:t xml:space="preserve">évaluation </w:t>
      </w:r>
      <w:r w:rsidRPr="002933A9">
        <w:rPr>
          <w:i/>
        </w:rPr>
        <w:t xml:space="preserve">commanditée par  </w:t>
      </w:r>
    </w:p>
    <w:p w14:paraId="77AF90F8" w14:textId="60A8B7AB" w:rsidR="002933A9" w:rsidRDefault="002933A9" w:rsidP="00F000AF">
      <w:pPr>
        <w:jc w:val="both"/>
        <w:rPr>
          <w:i/>
        </w:rPr>
      </w:pPr>
      <w:r>
        <w:rPr>
          <w:noProof/>
          <w:lang w:eastAsia="fr-FR"/>
        </w:rPr>
        <w:drawing>
          <wp:anchor distT="0" distB="0" distL="114300" distR="114300" simplePos="0" relativeHeight="251661312" behindDoc="1" locked="0" layoutInCell="1" allowOverlap="1" wp14:anchorId="5522DEBF" wp14:editId="7747636A">
            <wp:simplePos x="0" y="0"/>
            <wp:positionH relativeFrom="column">
              <wp:posOffset>2258695</wp:posOffset>
            </wp:positionH>
            <wp:positionV relativeFrom="paragraph">
              <wp:posOffset>205740</wp:posOffset>
            </wp:positionV>
            <wp:extent cx="709930" cy="546735"/>
            <wp:effectExtent l="0" t="0" r="0" b="5715"/>
            <wp:wrapTight wrapText="bothSides">
              <wp:wrapPolygon edited="0">
                <wp:start x="0" y="0"/>
                <wp:lineTo x="0" y="21073"/>
                <wp:lineTo x="20866" y="21073"/>
                <wp:lineTo x="2086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mail-baseline.jpg"/>
                    <pic:cNvPicPr/>
                  </pic:nvPicPr>
                  <pic:blipFill>
                    <a:blip r:embed="rId10">
                      <a:extLst>
                        <a:ext uri="{28A0092B-C50C-407E-A947-70E740481C1C}">
                          <a14:useLocalDpi xmlns:a14="http://schemas.microsoft.com/office/drawing/2010/main" val="0"/>
                        </a:ext>
                      </a:extLst>
                    </a:blip>
                    <a:stretch>
                      <a:fillRect/>
                    </a:stretch>
                  </pic:blipFill>
                  <pic:spPr>
                    <a:xfrm>
                      <a:off x="0" y="0"/>
                      <a:ext cx="709930" cy="54673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2336" behindDoc="1" locked="0" layoutInCell="1" allowOverlap="1" wp14:anchorId="5CEF33E0" wp14:editId="439B139B">
            <wp:simplePos x="0" y="0"/>
            <wp:positionH relativeFrom="column">
              <wp:posOffset>1020445</wp:posOffset>
            </wp:positionH>
            <wp:positionV relativeFrom="paragraph">
              <wp:posOffset>266065</wp:posOffset>
            </wp:positionV>
            <wp:extent cx="1056005" cy="365760"/>
            <wp:effectExtent l="0" t="0" r="0" b="0"/>
            <wp:wrapTight wrapText="bothSides">
              <wp:wrapPolygon edited="0">
                <wp:start x="390" y="2250"/>
                <wp:lineTo x="390" y="18000"/>
                <wp:lineTo x="19873" y="18000"/>
                <wp:lineTo x="20262" y="14625"/>
                <wp:lineTo x="20262" y="7875"/>
                <wp:lineTo x="19483" y="2250"/>
                <wp:lineTo x="390" y="225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MSO.png"/>
                    <pic:cNvPicPr/>
                  </pic:nvPicPr>
                  <pic:blipFill>
                    <a:blip r:embed="rId11">
                      <a:extLst>
                        <a:ext uri="{28A0092B-C50C-407E-A947-70E740481C1C}">
                          <a14:useLocalDpi xmlns:a14="http://schemas.microsoft.com/office/drawing/2010/main" val="0"/>
                        </a:ext>
                      </a:extLst>
                    </a:blip>
                    <a:stretch>
                      <a:fillRect/>
                    </a:stretch>
                  </pic:blipFill>
                  <pic:spPr>
                    <a:xfrm>
                      <a:off x="0" y="0"/>
                      <a:ext cx="1056005" cy="365760"/>
                    </a:xfrm>
                    <a:prstGeom prst="rect">
                      <a:avLst/>
                    </a:prstGeom>
                  </pic:spPr>
                </pic:pic>
              </a:graphicData>
            </a:graphic>
            <wp14:sizeRelH relativeFrom="margin">
              <wp14:pctWidth>0</wp14:pctWidth>
            </wp14:sizeRelH>
            <wp14:sizeRelV relativeFrom="margin">
              <wp14:pctHeight>0</wp14:pctHeight>
            </wp14:sizeRelV>
          </wp:anchor>
        </w:drawing>
      </w:r>
    </w:p>
    <w:p w14:paraId="1AC9F5CD" w14:textId="0AA4C12F" w:rsidR="002933A9" w:rsidRDefault="002933A9" w:rsidP="00F000AF">
      <w:pPr>
        <w:jc w:val="both"/>
        <w:rPr>
          <w:i/>
        </w:rPr>
      </w:pPr>
      <w:r>
        <w:rPr>
          <w:i/>
        </w:rPr>
        <w:t xml:space="preserve">Et réalisée par </w:t>
      </w:r>
    </w:p>
    <w:p w14:paraId="684D8AF0" w14:textId="37055386" w:rsidR="002933A9" w:rsidRPr="002933A9" w:rsidRDefault="002933A9" w:rsidP="00F000AF">
      <w:pPr>
        <w:jc w:val="both"/>
        <w:rPr>
          <w:i/>
        </w:rPr>
      </w:pPr>
    </w:p>
    <w:sectPr w:rsidR="002933A9" w:rsidRPr="002933A9" w:rsidSect="00B16DAC">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8CC64" w16cid:durableId="2211DD91"/>
  <w16cid:commentId w16cid:paraId="2CF5A72B" w16cid:durableId="2211DD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85F4B" w14:textId="77777777" w:rsidR="003D7516" w:rsidRDefault="003D7516" w:rsidP="00335A2B">
      <w:pPr>
        <w:spacing w:after="0" w:line="240" w:lineRule="auto"/>
      </w:pPr>
      <w:r>
        <w:separator/>
      </w:r>
    </w:p>
  </w:endnote>
  <w:endnote w:type="continuationSeparator" w:id="0">
    <w:p w14:paraId="5339F4F3" w14:textId="77777777" w:rsidR="003D7516" w:rsidRDefault="003D7516" w:rsidP="0033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43A46" w14:textId="77777777" w:rsidR="003D7516" w:rsidRDefault="003D7516" w:rsidP="00335A2B">
      <w:pPr>
        <w:spacing w:after="0" w:line="240" w:lineRule="auto"/>
      </w:pPr>
      <w:r>
        <w:separator/>
      </w:r>
    </w:p>
  </w:footnote>
  <w:footnote w:type="continuationSeparator" w:id="0">
    <w:p w14:paraId="7C7A8280" w14:textId="77777777" w:rsidR="003D7516" w:rsidRDefault="003D7516" w:rsidP="00335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E1A45" w14:textId="6EE3EB23" w:rsidR="00335A2B" w:rsidRDefault="00335A2B">
    <w:pPr>
      <w:pStyle w:val="En-tte"/>
    </w:pPr>
    <w:r w:rsidRPr="00335A2B">
      <w:rPr>
        <w:noProof/>
        <w:lang w:eastAsia="fr-FR"/>
      </w:rPr>
      <w:drawing>
        <wp:anchor distT="0" distB="0" distL="114300" distR="114300" simplePos="0" relativeHeight="251660288" behindDoc="1" locked="0" layoutInCell="1" allowOverlap="1" wp14:anchorId="7931B530" wp14:editId="68909DEA">
          <wp:simplePos x="0" y="0"/>
          <wp:positionH relativeFrom="column">
            <wp:posOffset>-625475</wp:posOffset>
          </wp:positionH>
          <wp:positionV relativeFrom="paragraph">
            <wp:posOffset>-259080</wp:posOffset>
          </wp:positionV>
          <wp:extent cx="2595880" cy="655320"/>
          <wp:effectExtent l="0" t="0" r="0" b="0"/>
          <wp:wrapTight wrapText="bothSides">
            <wp:wrapPolygon edited="0">
              <wp:start x="0" y="0"/>
              <wp:lineTo x="0" y="20721"/>
              <wp:lineTo x="21399" y="20721"/>
              <wp:lineTo x="21399" y="0"/>
              <wp:lineTo x="0" y="0"/>
            </wp:wrapPolygon>
          </wp:wrapTight>
          <wp:docPr id="1028" name="Picture 4" descr="Résultat de recherche d'images pour &quot;SLIME logo précarité&quot;">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D30D25FA-DAEE-45CE-833F-4C0EF8E46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ésultat de recherche d'images pour &quot;SLIME logo précarité&quot;">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D30D25FA-DAEE-45CE-833F-4C0EF8E4671E}"/>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9618" t="20019" r="10165" b="24931"/>
                  <a:stretch/>
                </pic:blipFill>
                <pic:spPr bwMode="auto">
                  <a:xfrm>
                    <a:off x="0" y="0"/>
                    <a:ext cx="2595880" cy="655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756A2"/>
    <w:multiLevelType w:val="hybridMultilevel"/>
    <w:tmpl w:val="BD306B18"/>
    <w:lvl w:ilvl="0" w:tplc="F6D63C18">
      <w:start w:val="1"/>
      <w:numFmt w:val="bullet"/>
      <w:lvlText w:val="−"/>
      <w:lvlJc w:val="left"/>
      <w:pPr>
        <w:tabs>
          <w:tab w:val="num" w:pos="720"/>
        </w:tabs>
        <w:ind w:left="720" w:hanging="360"/>
      </w:pPr>
      <w:rPr>
        <w:rFonts w:ascii="Helvetica" w:hAnsi="Helvetica" w:hint="default"/>
      </w:rPr>
    </w:lvl>
    <w:lvl w:ilvl="1" w:tplc="D0F29460">
      <w:start w:val="1"/>
      <w:numFmt w:val="bullet"/>
      <w:lvlText w:val="−"/>
      <w:lvlJc w:val="left"/>
      <w:pPr>
        <w:tabs>
          <w:tab w:val="num" w:pos="1440"/>
        </w:tabs>
        <w:ind w:left="1440" w:hanging="360"/>
      </w:pPr>
      <w:rPr>
        <w:rFonts w:ascii="Helvetica" w:hAnsi="Helvetica" w:hint="default"/>
      </w:rPr>
    </w:lvl>
    <w:lvl w:ilvl="2" w:tplc="ADE49CEE" w:tentative="1">
      <w:start w:val="1"/>
      <w:numFmt w:val="bullet"/>
      <w:lvlText w:val="−"/>
      <w:lvlJc w:val="left"/>
      <w:pPr>
        <w:tabs>
          <w:tab w:val="num" w:pos="2160"/>
        </w:tabs>
        <w:ind w:left="2160" w:hanging="360"/>
      </w:pPr>
      <w:rPr>
        <w:rFonts w:ascii="Helvetica" w:hAnsi="Helvetica" w:hint="default"/>
      </w:rPr>
    </w:lvl>
    <w:lvl w:ilvl="3" w:tplc="ECA04D36" w:tentative="1">
      <w:start w:val="1"/>
      <w:numFmt w:val="bullet"/>
      <w:lvlText w:val="−"/>
      <w:lvlJc w:val="left"/>
      <w:pPr>
        <w:tabs>
          <w:tab w:val="num" w:pos="2880"/>
        </w:tabs>
        <w:ind w:left="2880" w:hanging="360"/>
      </w:pPr>
      <w:rPr>
        <w:rFonts w:ascii="Helvetica" w:hAnsi="Helvetica" w:hint="default"/>
      </w:rPr>
    </w:lvl>
    <w:lvl w:ilvl="4" w:tplc="61020426" w:tentative="1">
      <w:start w:val="1"/>
      <w:numFmt w:val="bullet"/>
      <w:lvlText w:val="−"/>
      <w:lvlJc w:val="left"/>
      <w:pPr>
        <w:tabs>
          <w:tab w:val="num" w:pos="3600"/>
        </w:tabs>
        <w:ind w:left="3600" w:hanging="360"/>
      </w:pPr>
      <w:rPr>
        <w:rFonts w:ascii="Helvetica" w:hAnsi="Helvetica" w:hint="default"/>
      </w:rPr>
    </w:lvl>
    <w:lvl w:ilvl="5" w:tplc="8A1000B2" w:tentative="1">
      <w:start w:val="1"/>
      <w:numFmt w:val="bullet"/>
      <w:lvlText w:val="−"/>
      <w:lvlJc w:val="left"/>
      <w:pPr>
        <w:tabs>
          <w:tab w:val="num" w:pos="4320"/>
        </w:tabs>
        <w:ind w:left="4320" w:hanging="360"/>
      </w:pPr>
      <w:rPr>
        <w:rFonts w:ascii="Helvetica" w:hAnsi="Helvetica" w:hint="default"/>
      </w:rPr>
    </w:lvl>
    <w:lvl w:ilvl="6" w:tplc="F0965082" w:tentative="1">
      <w:start w:val="1"/>
      <w:numFmt w:val="bullet"/>
      <w:lvlText w:val="−"/>
      <w:lvlJc w:val="left"/>
      <w:pPr>
        <w:tabs>
          <w:tab w:val="num" w:pos="5040"/>
        </w:tabs>
        <w:ind w:left="5040" w:hanging="360"/>
      </w:pPr>
      <w:rPr>
        <w:rFonts w:ascii="Helvetica" w:hAnsi="Helvetica" w:hint="default"/>
      </w:rPr>
    </w:lvl>
    <w:lvl w:ilvl="7" w:tplc="E2A80632" w:tentative="1">
      <w:start w:val="1"/>
      <w:numFmt w:val="bullet"/>
      <w:lvlText w:val="−"/>
      <w:lvlJc w:val="left"/>
      <w:pPr>
        <w:tabs>
          <w:tab w:val="num" w:pos="5760"/>
        </w:tabs>
        <w:ind w:left="5760" w:hanging="360"/>
      </w:pPr>
      <w:rPr>
        <w:rFonts w:ascii="Helvetica" w:hAnsi="Helvetica" w:hint="default"/>
      </w:rPr>
    </w:lvl>
    <w:lvl w:ilvl="8" w:tplc="16B44FBC" w:tentative="1">
      <w:start w:val="1"/>
      <w:numFmt w:val="bullet"/>
      <w:lvlText w:val="−"/>
      <w:lvlJc w:val="left"/>
      <w:pPr>
        <w:tabs>
          <w:tab w:val="num" w:pos="6480"/>
        </w:tabs>
        <w:ind w:left="6480" w:hanging="360"/>
      </w:pPr>
      <w:rPr>
        <w:rFonts w:ascii="Helvetica" w:hAnsi="Helvetica" w:hint="default"/>
      </w:rPr>
    </w:lvl>
  </w:abstractNum>
  <w:abstractNum w:abstractNumId="1" w15:restartNumberingAfterBreak="0">
    <w:nsid w:val="73A846BC"/>
    <w:multiLevelType w:val="hybridMultilevel"/>
    <w:tmpl w:val="E5C2DA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BD7391"/>
    <w:multiLevelType w:val="hybridMultilevel"/>
    <w:tmpl w:val="AEAEBA76"/>
    <w:lvl w:ilvl="0" w:tplc="FB20ADB8">
      <w:start w:val="1"/>
      <w:numFmt w:val="bullet"/>
      <w:lvlText w:val="−"/>
      <w:lvlJc w:val="left"/>
      <w:pPr>
        <w:tabs>
          <w:tab w:val="num" w:pos="720"/>
        </w:tabs>
        <w:ind w:left="720" w:hanging="360"/>
      </w:pPr>
      <w:rPr>
        <w:rFonts w:ascii="Helvetica" w:hAnsi="Helvetica" w:hint="default"/>
      </w:rPr>
    </w:lvl>
    <w:lvl w:ilvl="1" w:tplc="EDD6AA3E">
      <w:start w:val="1"/>
      <w:numFmt w:val="bullet"/>
      <w:lvlText w:val="−"/>
      <w:lvlJc w:val="left"/>
      <w:pPr>
        <w:tabs>
          <w:tab w:val="num" w:pos="1440"/>
        </w:tabs>
        <w:ind w:left="1440" w:hanging="360"/>
      </w:pPr>
      <w:rPr>
        <w:rFonts w:ascii="Helvetica" w:hAnsi="Helvetica" w:hint="default"/>
      </w:rPr>
    </w:lvl>
    <w:lvl w:ilvl="2" w:tplc="AD807F64" w:tentative="1">
      <w:start w:val="1"/>
      <w:numFmt w:val="bullet"/>
      <w:lvlText w:val="−"/>
      <w:lvlJc w:val="left"/>
      <w:pPr>
        <w:tabs>
          <w:tab w:val="num" w:pos="2160"/>
        </w:tabs>
        <w:ind w:left="2160" w:hanging="360"/>
      </w:pPr>
      <w:rPr>
        <w:rFonts w:ascii="Helvetica" w:hAnsi="Helvetica" w:hint="default"/>
      </w:rPr>
    </w:lvl>
    <w:lvl w:ilvl="3" w:tplc="A3709F60" w:tentative="1">
      <w:start w:val="1"/>
      <w:numFmt w:val="bullet"/>
      <w:lvlText w:val="−"/>
      <w:lvlJc w:val="left"/>
      <w:pPr>
        <w:tabs>
          <w:tab w:val="num" w:pos="2880"/>
        </w:tabs>
        <w:ind w:left="2880" w:hanging="360"/>
      </w:pPr>
      <w:rPr>
        <w:rFonts w:ascii="Helvetica" w:hAnsi="Helvetica" w:hint="default"/>
      </w:rPr>
    </w:lvl>
    <w:lvl w:ilvl="4" w:tplc="C93EE1EA" w:tentative="1">
      <w:start w:val="1"/>
      <w:numFmt w:val="bullet"/>
      <w:lvlText w:val="−"/>
      <w:lvlJc w:val="left"/>
      <w:pPr>
        <w:tabs>
          <w:tab w:val="num" w:pos="3600"/>
        </w:tabs>
        <w:ind w:left="3600" w:hanging="360"/>
      </w:pPr>
      <w:rPr>
        <w:rFonts w:ascii="Helvetica" w:hAnsi="Helvetica" w:hint="default"/>
      </w:rPr>
    </w:lvl>
    <w:lvl w:ilvl="5" w:tplc="8B9A1650" w:tentative="1">
      <w:start w:val="1"/>
      <w:numFmt w:val="bullet"/>
      <w:lvlText w:val="−"/>
      <w:lvlJc w:val="left"/>
      <w:pPr>
        <w:tabs>
          <w:tab w:val="num" w:pos="4320"/>
        </w:tabs>
        <w:ind w:left="4320" w:hanging="360"/>
      </w:pPr>
      <w:rPr>
        <w:rFonts w:ascii="Helvetica" w:hAnsi="Helvetica" w:hint="default"/>
      </w:rPr>
    </w:lvl>
    <w:lvl w:ilvl="6" w:tplc="65F6F112" w:tentative="1">
      <w:start w:val="1"/>
      <w:numFmt w:val="bullet"/>
      <w:lvlText w:val="−"/>
      <w:lvlJc w:val="left"/>
      <w:pPr>
        <w:tabs>
          <w:tab w:val="num" w:pos="5040"/>
        </w:tabs>
        <w:ind w:left="5040" w:hanging="360"/>
      </w:pPr>
      <w:rPr>
        <w:rFonts w:ascii="Helvetica" w:hAnsi="Helvetica" w:hint="default"/>
      </w:rPr>
    </w:lvl>
    <w:lvl w:ilvl="7" w:tplc="D25008DA" w:tentative="1">
      <w:start w:val="1"/>
      <w:numFmt w:val="bullet"/>
      <w:lvlText w:val="−"/>
      <w:lvlJc w:val="left"/>
      <w:pPr>
        <w:tabs>
          <w:tab w:val="num" w:pos="5760"/>
        </w:tabs>
        <w:ind w:left="5760" w:hanging="360"/>
      </w:pPr>
      <w:rPr>
        <w:rFonts w:ascii="Helvetica" w:hAnsi="Helvetica" w:hint="default"/>
      </w:rPr>
    </w:lvl>
    <w:lvl w:ilvl="8" w:tplc="E35861D4" w:tentative="1">
      <w:start w:val="1"/>
      <w:numFmt w:val="bullet"/>
      <w:lvlText w:val="−"/>
      <w:lvlJc w:val="left"/>
      <w:pPr>
        <w:tabs>
          <w:tab w:val="num" w:pos="6480"/>
        </w:tabs>
        <w:ind w:left="6480" w:hanging="360"/>
      </w:pPr>
      <w:rPr>
        <w:rFonts w:ascii="Helvetica" w:hAnsi="Helvetica" w:hint="default"/>
      </w:rPr>
    </w:lvl>
  </w:abstractNum>
  <w:abstractNum w:abstractNumId="3" w15:restartNumberingAfterBreak="0">
    <w:nsid w:val="79A45452"/>
    <w:multiLevelType w:val="hybridMultilevel"/>
    <w:tmpl w:val="DF622F8A"/>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7DDE771E"/>
    <w:multiLevelType w:val="hybridMultilevel"/>
    <w:tmpl w:val="3C7CF474"/>
    <w:lvl w:ilvl="0" w:tplc="7922932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85"/>
    <w:rsid w:val="00011A57"/>
    <w:rsid w:val="000B3AA0"/>
    <w:rsid w:val="000C5595"/>
    <w:rsid w:val="000F18B4"/>
    <w:rsid w:val="001B2769"/>
    <w:rsid w:val="00244B54"/>
    <w:rsid w:val="002933A9"/>
    <w:rsid w:val="002B6DBB"/>
    <w:rsid w:val="00316CDF"/>
    <w:rsid w:val="00335A2B"/>
    <w:rsid w:val="003632D1"/>
    <w:rsid w:val="003D7516"/>
    <w:rsid w:val="00477CF5"/>
    <w:rsid w:val="004E1A34"/>
    <w:rsid w:val="00566435"/>
    <w:rsid w:val="00611275"/>
    <w:rsid w:val="00666AA1"/>
    <w:rsid w:val="00675EEC"/>
    <w:rsid w:val="006F2A98"/>
    <w:rsid w:val="00761673"/>
    <w:rsid w:val="00770B60"/>
    <w:rsid w:val="0077157E"/>
    <w:rsid w:val="007F0F8F"/>
    <w:rsid w:val="0080703E"/>
    <w:rsid w:val="008C16E9"/>
    <w:rsid w:val="009546DE"/>
    <w:rsid w:val="009776A5"/>
    <w:rsid w:val="00A25D26"/>
    <w:rsid w:val="00AC1ABA"/>
    <w:rsid w:val="00B16DAC"/>
    <w:rsid w:val="00B66FE5"/>
    <w:rsid w:val="00BB7794"/>
    <w:rsid w:val="00C513E8"/>
    <w:rsid w:val="00C612EA"/>
    <w:rsid w:val="00CA7273"/>
    <w:rsid w:val="00CE56F6"/>
    <w:rsid w:val="00D72C3D"/>
    <w:rsid w:val="00E314FA"/>
    <w:rsid w:val="00E45BE2"/>
    <w:rsid w:val="00E74288"/>
    <w:rsid w:val="00EC0151"/>
    <w:rsid w:val="00F000AF"/>
    <w:rsid w:val="00F115A1"/>
    <w:rsid w:val="00FB59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4345B"/>
  <w15:docId w15:val="{0030CABB-A7A2-4C3B-BCEE-46B5B419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6CDF"/>
    <w:pPr>
      <w:ind w:left="720"/>
      <w:contextualSpacing/>
    </w:pPr>
  </w:style>
  <w:style w:type="character" w:styleId="Marquedecommentaire">
    <w:name w:val="annotation reference"/>
    <w:basedOn w:val="Policepardfaut"/>
    <w:uiPriority w:val="99"/>
    <w:semiHidden/>
    <w:unhideWhenUsed/>
    <w:rsid w:val="00D72C3D"/>
    <w:rPr>
      <w:sz w:val="16"/>
      <w:szCs w:val="16"/>
    </w:rPr>
  </w:style>
  <w:style w:type="paragraph" w:styleId="Commentaire">
    <w:name w:val="annotation text"/>
    <w:basedOn w:val="Normal"/>
    <w:link w:val="CommentaireCar"/>
    <w:uiPriority w:val="99"/>
    <w:semiHidden/>
    <w:unhideWhenUsed/>
    <w:rsid w:val="00D72C3D"/>
    <w:pPr>
      <w:spacing w:line="240" w:lineRule="auto"/>
    </w:pPr>
    <w:rPr>
      <w:sz w:val="20"/>
      <w:szCs w:val="20"/>
    </w:rPr>
  </w:style>
  <w:style w:type="character" w:customStyle="1" w:styleId="CommentaireCar">
    <w:name w:val="Commentaire Car"/>
    <w:basedOn w:val="Policepardfaut"/>
    <w:link w:val="Commentaire"/>
    <w:uiPriority w:val="99"/>
    <w:semiHidden/>
    <w:rsid w:val="00D72C3D"/>
    <w:rPr>
      <w:sz w:val="20"/>
      <w:szCs w:val="20"/>
    </w:rPr>
  </w:style>
  <w:style w:type="paragraph" w:styleId="Objetducommentaire">
    <w:name w:val="annotation subject"/>
    <w:basedOn w:val="Commentaire"/>
    <w:next w:val="Commentaire"/>
    <w:link w:val="ObjetducommentaireCar"/>
    <w:uiPriority w:val="99"/>
    <w:semiHidden/>
    <w:unhideWhenUsed/>
    <w:rsid w:val="00D72C3D"/>
    <w:rPr>
      <w:b/>
      <w:bCs/>
    </w:rPr>
  </w:style>
  <w:style w:type="character" w:customStyle="1" w:styleId="ObjetducommentaireCar">
    <w:name w:val="Objet du commentaire Car"/>
    <w:basedOn w:val="CommentaireCar"/>
    <w:link w:val="Objetducommentaire"/>
    <w:uiPriority w:val="99"/>
    <w:semiHidden/>
    <w:rsid w:val="00D72C3D"/>
    <w:rPr>
      <w:b/>
      <w:bCs/>
      <w:sz w:val="20"/>
      <w:szCs w:val="20"/>
    </w:rPr>
  </w:style>
  <w:style w:type="paragraph" w:styleId="Textedebulles">
    <w:name w:val="Balloon Text"/>
    <w:basedOn w:val="Normal"/>
    <w:link w:val="TextedebullesCar"/>
    <w:uiPriority w:val="99"/>
    <w:semiHidden/>
    <w:unhideWhenUsed/>
    <w:rsid w:val="00D72C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C3D"/>
    <w:rPr>
      <w:rFonts w:ascii="Segoe UI" w:hAnsi="Segoe UI" w:cs="Segoe UI"/>
      <w:sz w:val="18"/>
      <w:szCs w:val="18"/>
    </w:rPr>
  </w:style>
  <w:style w:type="table" w:styleId="Grilledutableau">
    <w:name w:val="Table Grid"/>
    <w:basedOn w:val="TableauNormal"/>
    <w:uiPriority w:val="39"/>
    <w:rsid w:val="0080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15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35A2B"/>
    <w:pPr>
      <w:tabs>
        <w:tab w:val="center" w:pos="4536"/>
        <w:tab w:val="right" w:pos="9072"/>
      </w:tabs>
      <w:spacing w:after="0" w:line="240" w:lineRule="auto"/>
    </w:pPr>
  </w:style>
  <w:style w:type="character" w:customStyle="1" w:styleId="En-tteCar">
    <w:name w:val="En-tête Car"/>
    <w:basedOn w:val="Policepardfaut"/>
    <w:link w:val="En-tte"/>
    <w:uiPriority w:val="99"/>
    <w:rsid w:val="00335A2B"/>
  </w:style>
  <w:style w:type="paragraph" w:styleId="Pieddepage">
    <w:name w:val="footer"/>
    <w:basedOn w:val="Normal"/>
    <w:link w:val="PieddepageCar"/>
    <w:uiPriority w:val="99"/>
    <w:unhideWhenUsed/>
    <w:rsid w:val="00335A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43506">
      <w:bodyDiv w:val="1"/>
      <w:marLeft w:val="0"/>
      <w:marRight w:val="0"/>
      <w:marTop w:val="0"/>
      <w:marBottom w:val="0"/>
      <w:divBdr>
        <w:top w:val="none" w:sz="0" w:space="0" w:color="auto"/>
        <w:left w:val="none" w:sz="0" w:space="0" w:color="auto"/>
        <w:bottom w:val="none" w:sz="0" w:space="0" w:color="auto"/>
        <w:right w:val="none" w:sz="0" w:space="0" w:color="auto"/>
      </w:divBdr>
    </w:div>
    <w:div w:id="256598078">
      <w:bodyDiv w:val="1"/>
      <w:marLeft w:val="0"/>
      <w:marRight w:val="0"/>
      <w:marTop w:val="0"/>
      <w:marBottom w:val="0"/>
      <w:divBdr>
        <w:top w:val="none" w:sz="0" w:space="0" w:color="auto"/>
        <w:left w:val="none" w:sz="0" w:space="0" w:color="auto"/>
        <w:bottom w:val="none" w:sz="0" w:space="0" w:color="auto"/>
        <w:right w:val="none" w:sz="0" w:space="0" w:color="auto"/>
      </w:divBdr>
    </w:div>
    <w:div w:id="1059744169">
      <w:bodyDiv w:val="1"/>
      <w:marLeft w:val="0"/>
      <w:marRight w:val="0"/>
      <w:marTop w:val="0"/>
      <w:marBottom w:val="0"/>
      <w:divBdr>
        <w:top w:val="none" w:sz="0" w:space="0" w:color="auto"/>
        <w:left w:val="none" w:sz="0" w:space="0" w:color="auto"/>
        <w:bottom w:val="none" w:sz="0" w:space="0" w:color="auto"/>
        <w:right w:val="none" w:sz="0" w:space="0" w:color="auto"/>
      </w:divBdr>
    </w:div>
    <w:div w:id="1240948371">
      <w:bodyDiv w:val="1"/>
      <w:marLeft w:val="0"/>
      <w:marRight w:val="0"/>
      <w:marTop w:val="0"/>
      <w:marBottom w:val="0"/>
      <w:divBdr>
        <w:top w:val="none" w:sz="0" w:space="0" w:color="auto"/>
        <w:left w:val="none" w:sz="0" w:space="0" w:color="auto"/>
        <w:bottom w:val="none" w:sz="0" w:space="0" w:color="auto"/>
        <w:right w:val="none" w:sz="0" w:space="0" w:color="auto"/>
      </w:divBdr>
      <w:divsChild>
        <w:div w:id="271061836">
          <w:marLeft w:val="374"/>
          <w:marRight w:val="0"/>
          <w:marTop w:val="0"/>
          <w:marBottom w:val="0"/>
          <w:divBdr>
            <w:top w:val="none" w:sz="0" w:space="0" w:color="auto"/>
            <w:left w:val="none" w:sz="0" w:space="0" w:color="auto"/>
            <w:bottom w:val="none" w:sz="0" w:space="0" w:color="auto"/>
            <w:right w:val="none" w:sz="0" w:space="0" w:color="auto"/>
          </w:divBdr>
        </w:div>
        <w:div w:id="544101013">
          <w:marLeft w:val="374"/>
          <w:marRight w:val="0"/>
          <w:marTop w:val="0"/>
          <w:marBottom w:val="0"/>
          <w:divBdr>
            <w:top w:val="none" w:sz="0" w:space="0" w:color="auto"/>
            <w:left w:val="none" w:sz="0" w:space="0" w:color="auto"/>
            <w:bottom w:val="none" w:sz="0" w:space="0" w:color="auto"/>
            <w:right w:val="none" w:sz="0" w:space="0" w:color="auto"/>
          </w:divBdr>
        </w:div>
      </w:divsChild>
    </w:div>
    <w:div w:id="1733195774">
      <w:bodyDiv w:val="1"/>
      <w:marLeft w:val="0"/>
      <w:marRight w:val="0"/>
      <w:marTop w:val="0"/>
      <w:marBottom w:val="0"/>
      <w:divBdr>
        <w:top w:val="none" w:sz="0" w:space="0" w:color="auto"/>
        <w:left w:val="none" w:sz="0" w:space="0" w:color="auto"/>
        <w:bottom w:val="none" w:sz="0" w:space="0" w:color="auto"/>
        <w:right w:val="none" w:sz="0" w:space="0" w:color="auto"/>
      </w:divBdr>
    </w:div>
    <w:div w:id="1797288330">
      <w:bodyDiv w:val="1"/>
      <w:marLeft w:val="0"/>
      <w:marRight w:val="0"/>
      <w:marTop w:val="0"/>
      <w:marBottom w:val="0"/>
      <w:divBdr>
        <w:top w:val="none" w:sz="0" w:space="0" w:color="auto"/>
        <w:left w:val="none" w:sz="0" w:space="0" w:color="auto"/>
        <w:bottom w:val="none" w:sz="0" w:space="0" w:color="auto"/>
        <w:right w:val="none" w:sz="0" w:space="0" w:color="auto"/>
      </w:divBdr>
    </w:div>
    <w:div w:id="1803845556">
      <w:bodyDiv w:val="1"/>
      <w:marLeft w:val="0"/>
      <w:marRight w:val="0"/>
      <w:marTop w:val="0"/>
      <w:marBottom w:val="0"/>
      <w:divBdr>
        <w:top w:val="none" w:sz="0" w:space="0" w:color="auto"/>
        <w:left w:val="none" w:sz="0" w:space="0" w:color="auto"/>
        <w:bottom w:val="none" w:sz="0" w:space="0" w:color="auto"/>
        <w:right w:val="none" w:sz="0" w:space="0" w:color="auto"/>
      </w:divBdr>
    </w:div>
    <w:div w:id="2071346712">
      <w:bodyDiv w:val="1"/>
      <w:marLeft w:val="0"/>
      <w:marRight w:val="0"/>
      <w:marTop w:val="0"/>
      <w:marBottom w:val="0"/>
      <w:divBdr>
        <w:top w:val="none" w:sz="0" w:space="0" w:color="auto"/>
        <w:left w:val="none" w:sz="0" w:space="0" w:color="auto"/>
        <w:bottom w:val="none" w:sz="0" w:space="0" w:color="auto"/>
        <w:right w:val="none" w:sz="0" w:space="0" w:color="auto"/>
      </w:divBdr>
    </w:div>
    <w:div w:id="2118940071">
      <w:bodyDiv w:val="1"/>
      <w:marLeft w:val="0"/>
      <w:marRight w:val="0"/>
      <w:marTop w:val="0"/>
      <w:marBottom w:val="0"/>
      <w:divBdr>
        <w:top w:val="none" w:sz="0" w:space="0" w:color="auto"/>
        <w:left w:val="none" w:sz="0" w:space="0" w:color="auto"/>
        <w:bottom w:val="none" w:sz="0" w:space="0" w:color="auto"/>
        <w:right w:val="none" w:sz="0" w:space="0" w:color="auto"/>
      </w:divBdr>
      <w:divsChild>
        <w:div w:id="1063989818">
          <w:marLeft w:val="994"/>
          <w:marRight w:val="0"/>
          <w:marTop w:val="67"/>
          <w:marBottom w:val="0"/>
          <w:divBdr>
            <w:top w:val="none" w:sz="0" w:space="0" w:color="auto"/>
            <w:left w:val="none" w:sz="0" w:space="0" w:color="auto"/>
            <w:bottom w:val="none" w:sz="0" w:space="0" w:color="auto"/>
            <w:right w:val="none" w:sz="0" w:space="0" w:color="auto"/>
          </w:divBdr>
        </w:div>
        <w:div w:id="1106996355">
          <w:marLeft w:val="994"/>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A0DF7-7D5E-43D3-A6C3-B96A36FB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3000</Words>
  <Characters>16503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Dell</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Aurelien</cp:lastModifiedBy>
  <cp:revision>6</cp:revision>
  <dcterms:created xsi:type="dcterms:W3CDTF">2020-03-10T10:46:00Z</dcterms:created>
  <dcterms:modified xsi:type="dcterms:W3CDTF">2020-03-10T11:20:00Z</dcterms:modified>
</cp:coreProperties>
</file>